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56E0" w:rsidRPr="00892D45" w:rsidRDefault="002056E0" w:rsidP="002056E0">
      <w:pPr>
        <w:jc w:val="center"/>
        <w:rPr>
          <w:rFonts w:asciiTheme="majorHAnsi" w:hAnsiTheme="majorHAnsi"/>
          <w:sz w:val="28"/>
        </w:rPr>
      </w:pPr>
      <w:r w:rsidRPr="00892D45">
        <w:rPr>
          <w:rFonts w:asciiTheme="majorHAnsi" w:hAnsiTheme="majorHAnsi"/>
          <w:sz w:val="28"/>
        </w:rPr>
        <w:t>SSHRC Explore Grants and SSHRC Exchange Grants Program</w:t>
      </w:r>
    </w:p>
    <w:p w:rsidR="00BD7F2C" w:rsidRPr="002056E0" w:rsidRDefault="00370776" w:rsidP="00CF538D">
      <w:pPr>
        <w:pStyle w:val="Title"/>
        <w:jc w:val="center"/>
        <w:rPr>
          <w:iCs/>
          <w:sz w:val="28"/>
          <w:szCs w:val="28"/>
        </w:rPr>
      </w:pPr>
      <w:r w:rsidRPr="002056E0">
        <w:rPr>
          <w:sz w:val="28"/>
          <w:szCs w:val="28"/>
        </w:rPr>
        <w:t>SSHRC Institutional Grant (SIG) Funds</w:t>
      </w:r>
      <w:r w:rsidR="00CF538D" w:rsidRPr="002056E0">
        <w:rPr>
          <w:sz w:val="28"/>
          <w:szCs w:val="28"/>
        </w:rPr>
        <w:t xml:space="preserve"> </w:t>
      </w:r>
      <w:r w:rsidR="00B629C7" w:rsidRPr="002056E0">
        <w:rPr>
          <w:iCs/>
          <w:sz w:val="28"/>
          <w:szCs w:val="28"/>
        </w:rPr>
        <w:t>Guidelines</w:t>
      </w:r>
    </w:p>
    <w:p w:rsidR="008F220C" w:rsidRPr="008F220C" w:rsidRDefault="008F220C" w:rsidP="008F220C">
      <w:pPr>
        <w:jc w:val="right"/>
        <w:rPr>
          <w:i/>
        </w:rPr>
      </w:pPr>
      <w:r w:rsidRPr="008F220C">
        <w:rPr>
          <w:i/>
        </w:rPr>
        <w:t>March 2019</w:t>
      </w:r>
    </w:p>
    <w:p w:rsidR="00323874" w:rsidRPr="00323874" w:rsidRDefault="00323874" w:rsidP="00CA380E">
      <w:pPr>
        <w:pStyle w:val="Heading1"/>
        <w:spacing w:after="60"/>
        <w:ind w:left="142"/>
        <w:rPr>
          <w:rStyle w:val="IntenseEmphasis"/>
          <w:i w:val="0"/>
          <w:color w:val="000000" w:themeColor="text1"/>
        </w:rPr>
      </w:pPr>
      <w:r w:rsidRPr="00323874">
        <w:rPr>
          <w:rStyle w:val="IntenseEmphasis"/>
          <w:i w:val="0"/>
          <w:color w:val="000000" w:themeColor="text1"/>
        </w:rPr>
        <w:t>Program Overview</w:t>
      </w:r>
    </w:p>
    <w:p w:rsidR="00323874" w:rsidRPr="00323874" w:rsidRDefault="00323874" w:rsidP="002056E0">
      <w:pPr>
        <w:pStyle w:val="Heading1"/>
        <w:spacing w:before="120" w:after="60"/>
        <w:ind w:left="142"/>
        <w:rPr>
          <w:b w:val="0"/>
          <w:bCs w:val="0"/>
          <w:iCs/>
          <w:sz w:val="22"/>
          <w:szCs w:val="22"/>
        </w:rPr>
      </w:pPr>
      <w:r w:rsidRPr="00323874">
        <w:rPr>
          <w:b w:val="0"/>
          <w:bCs w:val="0"/>
          <w:iCs/>
          <w:sz w:val="22"/>
          <w:szCs w:val="22"/>
        </w:rPr>
        <w:t xml:space="preserve">This funding opportunity is supported by the Social Sciences and Humanities Research Council (SSHRC) through its Institutional Grants (SIG) program and is administered by </w:t>
      </w:r>
      <w:r w:rsidR="00071363">
        <w:rPr>
          <w:b w:val="0"/>
          <w:bCs w:val="0"/>
          <w:iCs/>
          <w:sz w:val="22"/>
          <w:szCs w:val="22"/>
        </w:rPr>
        <w:t>Concordia University of Edmonton. T</w:t>
      </w:r>
      <w:r w:rsidRPr="00323874">
        <w:rPr>
          <w:b w:val="0"/>
          <w:bCs w:val="0"/>
          <w:iCs/>
          <w:sz w:val="22"/>
          <w:szCs w:val="22"/>
        </w:rPr>
        <w:t>hrough the SIG program, SSHRC provides annual block grants to fund</w:t>
      </w:r>
      <w:r w:rsidR="00CA380E" w:rsidRPr="00CA380E">
        <w:t xml:space="preserve"> </w:t>
      </w:r>
      <w:r w:rsidR="00CA380E" w:rsidRPr="00CA380E">
        <w:rPr>
          <w:b w:val="0"/>
          <w:bCs w:val="0"/>
          <w:iCs/>
          <w:sz w:val="22"/>
          <w:szCs w:val="22"/>
        </w:rPr>
        <w:t>an internal grant competition</w:t>
      </w:r>
      <w:r w:rsidR="00CA380E">
        <w:rPr>
          <w:b w:val="0"/>
          <w:bCs w:val="0"/>
          <w:iCs/>
          <w:sz w:val="22"/>
          <w:szCs w:val="22"/>
        </w:rPr>
        <w:t xml:space="preserve">. </w:t>
      </w:r>
      <w:r w:rsidRPr="00323874">
        <w:rPr>
          <w:b w:val="0"/>
          <w:bCs w:val="0"/>
          <w:iCs/>
          <w:sz w:val="22"/>
          <w:szCs w:val="22"/>
        </w:rPr>
        <w:t>SIG funds are intended to help Canadian postsecondary institutions strengthen research excellence in the social sciences and humanities.</w:t>
      </w:r>
    </w:p>
    <w:p w:rsidR="00847768" w:rsidRPr="00667671" w:rsidRDefault="00DD543B" w:rsidP="00CA380E">
      <w:pPr>
        <w:pStyle w:val="Heading1"/>
        <w:spacing w:after="60"/>
        <w:ind w:left="142"/>
        <w:rPr>
          <w:rStyle w:val="IntenseEmphasis"/>
          <w:i w:val="0"/>
          <w:color w:val="000000" w:themeColor="text1"/>
        </w:rPr>
      </w:pPr>
      <w:r w:rsidRPr="00667671">
        <w:rPr>
          <w:rStyle w:val="IntenseEmphasis"/>
          <w:i w:val="0"/>
          <w:color w:val="000000" w:themeColor="text1"/>
        </w:rPr>
        <w:t>Description</w:t>
      </w:r>
    </w:p>
    <w:p w:rsidR="008C4219" w:rsidRPr="001619DD" w:rsidRDefault="008C4219" w:rsidP="001619DD">
      <w:pPr>
        <w:pStyle w:val="Heading1"/>
        <w:spacing w:before="120" w:after="60"/>
        <w:ind w:left="142"/>
        <w:rPr>
          <w:b w:val="0"/>
          <w:bCs w:val="0"/>
          <w:iCs/>
          <w:sz w:val="22"/>
          <w:szCs w:val="22"/>
        </w:rPr>
      </w:pPr>
      <w:r w:rsidRPr="001619DD">
        <w:rPr>
          <w:b w:val="0"/>
          <w:bCs w:val="0"/>
          <w:iCs/>
          <w:sz w:val="22"/>
          <w:szCs w:val="22"/>
        </w:rPr>
        <w:t xml:space="preserve">Concordia University of Edmonton has been successful in the latest </w:t>
      </w:r>
      <w:r w:rsidR="00BD7F2C" w:rsidRPr="001619DD">
        <w:rPr>
          <w:b w:val="0"/>
          <w:bCs w:val="0"/>
          <w:iCs/>
          <w:sz w:val="22"/>
          <w:szCs w:val="22"/>
        </w:rPr>
        <w:t>SSHRC SIG</w:t>
      </w:r>
      <w:r w:rsidRPr="001619DD">
        <w:rPr>
          <w:b w:val="0"/>
          <w:bCs w:val="0"/>
          <w:iCs/>
          <w:sz w:val="22"/>
          <w:szCs w:val="22"/>
        </w:rPr>
        <w:t xml:space="preserve"> competition and has been awarded funding for each of three fiscal years: 2018-2019; 2019-2020; 2020-2021. </w:t>
      </w:r>
      <w:r w:rsidR="00D96503" w:rsidRPr="001619DD">
        <w:rPr>
          <w:b w:val="0"/>
          <w:bCs w:val="0"/>
          <w:iCs/>
          <w:sz w:val="22"/>
          <w:szCs w:val="22"/>
        </w:rPr>
        <w:t xml:space="preserve">The size of this annual grant is based in part on the University’s performance in Tri-Agency research grant programs. </w:t>
      </w:r>
      <w:r w:rsidR="007F1C66" w:rsidRPr="001619DD">
        <w:rPr>
          <w:b w:val="0"/>
          <w:bCs w:val="0"/>
          <w:iCs/>
          <w:sz w:val="22"/>
          <w:szCs w:val="22"/>
        </w:rPr>
        <w:t>Concordia University of Edmonton</w:t>
      </w:r>
      <w:r w:rsidR="00CA380E" w:rsidRPr="001619DD">
        <w:rPr>
          <w:b w:val="0"/>
          <w:bCs w:val="0"/>
          <w:iCs/>
          <w:sz w:val="22"/>
          <w:szCs w:val="22"/>
        </w:rPr>
        <w:t xml:space="preserve"> </w:t>
      </w:r>
      <w:r w:rsidR="007F1C66" w:rsidRPr="001619DD">
        <w:rPr>
          <w:b w:val="0"/>
          <w:bCs w:val="0"/>
          <w:iCs/>
          <w:sz w:val="22"/>
          <w:szCs w:val="22"/>
        </w:rPr>
        <w:t xml:space="preserve">reports the results and use of </w:t>
      </w:r>
      <w:r w:rsidR="002171DC">
        <w:rPr>
          <w:b w:val="0"/>
          <w:bCs w:val="0"/>
          <w:iCs/>
          <w:sz w:val="22"/>
          <w:szCs w:val="22"/>
        </w:rPr>
        <w:t>SIG</w:t>
      </w:r>
      <w:r w:rsidR="007F1C66" w:rsidRPr="001619DD">
        <w:rPr>
          <w:b w:val="0"/>
          <w:bCs w:val="0"/>
          <w:iCs/>
          <w:sz w:val="22"/>
          <w:szCs w:val="22"/>
        </w:rPr>
        <w:t xml:space="preserve"> funds to SSHRC.</w:t>
      </w:r>
    </w:p>
    <w:p w:rsidR="00316EF3" w:rsidRPr="00F14C95" w:rsidRDefault="00370776" w:rsidP="00F14C95">
      <w:pPr>
        <w:pStyle w:val="Heading1"/>
        <w:spacing w:after="60"/>
        <w:ind w:left="142"/>
        <w:rPr>
          <w:rStyle w:val="IntenseEmphasis"/>
          <w:i w:val="0"/>
          <w:iCs w:val="0"/>
          <w:color w:val="000000" w:themeColor="text1"/>
        </w:rPr>
      </w:pPr>
      <w:r w:rsidRPr="00F14C95">
        <w:rPr>
          <w:rStyle w:val="IntenseEmphasis"/>
          <w:i w:val="0"/>
          <w:color w:val="000000" w:themeColor="text1"/>
        </w:rPr>
        <w:t>Grant Streams</w:t>
      </w:r>
      <w:r w:rsidR="00316EF3" w:rsidRPr="00F14C95">
        <w:rPr>
          <w:rStyle w:val="IntenseEmphasis"/>
          <w:i w:val="0"/>
          <w:iCs w:val="0"/>
          <w:color w:val="000000" w:themeColor="text1"/>
        </w:rPr>
        <w:t xml:space="preserve"> </w:t>
      </w:r>
    </w:p>
    <w:p w:rsidR="00316EF3" w:rsidRPr="001619DD" w:rsidRDefault="00316EF3" w:rsidP="001619DD">
      <w:pPr>
        <w:pStyle w:val="Heading1"/>
        <w:spacing w:before="120" w:after="60"/>
        <w:ind w:left="142"/>
        <w:rPr>
          <w:b w:val="0"/>
          <w:bCs w:val="0"/>
          <w:iCs/>
          <w:sz w:val="22"/>
          <w:szCs w:val="22"/>
        </w:rPr>
      </w:pPr>
      <w:r w:rsidRPr="001619DD">
        <w:rPr>
          <w:b w:val="0"/>
          <w:bCs w:val="0"/>
          <w:iCs/>
          <w:sz w:val="22"/>
          <w:szCs w:val="22"/>
        </w:rPr>
        <w:t>SSHRC SIG funds are used to offer the SSHRC Explore Grant and the SSHRC Exchange Grant to researchers in SSHRC-eligible disciplines in accordance with the guidelines established for the SSHRC Institutional Grant.</w:t>
      </w:r>
    </w:p>
    <w:p w:rsidR="00370776" w:rsidRPr="00B629C7" w:rsidRDefault="00370776" w:rsidP="002056E0">
      <w:pPr>
        <w:pStyle w:val="BodyText"/>
        <w:numPr>
          <w:ilvl w:val="0"/>
          <w:numId w:val="6"/>
        </w:numPr>
        <w:spacing w:before="120"/>
        <w:ind w:left="357" w:right="896" w:hanging="357"/>
        <w:rPr>
          <w:b/>
          <w:color w:val="0F243E" w:themeColor="text2" w:themeShade="80"/>
        </w:rPr>
      </w:pPr>
      <w:r w:rsidRPr="00B629C7">
        <w:rPr>
          <w:b/>
          <w:color w:val="0F243E" w:themeColor="text2" w:themeShade="80"/>
        </w:rPr>
        <w:t>SSHRC Explore Grants</w:t>
      </w:r>
      <w:r w:rsidR="00375267" w:rsidRPr="00B629C7">
        <w:rPr>
          <w:b/>
          <w:color w:val="0F243E" w:themeColor="text2" w:themeShade="80"/>
        </w:rPr>
        <w:t xml:space="preserve"> – Research funds</w:t>
      </w:r>
      <w:r w:rsidR="00E14E8C" w:rsidRPr="00B629C7">
        <w:rPr>
          <w:b/>
          <w:color w:val="0F243E" w:themeColor="text2" w:themeShade="80"/>
        </w:rPr>
        <w:t>:</w:t>
      </w:r>
    </w:p>
    <w:p w:rsidR="007E0359" w:rsidRDefault="007E0359" w:rsidP="007E0359">
      <w:pPr>
        <w:pStyle w:val="BodyText"/>
        <w:numPr>
          <w:ilvl w:val="0"/>
          <w:numId w:val="3"/>
        </w:numPr>
        <w:ind w:right="896"/>
        <w:rPr>
          <w:sz w:val="22"/>
          <w:szCs w:val="22"/>
        </w:rPr>
      </w:pPr>
      <w:r>
        <w:rPr>
          <w:sz w:val="22"/>
          <w:szCs w:val="22"/>
        </w:rPr>
        <w:t>A</w:t>
      </w:r>
      <w:r w:rsidRPr="007E0359">
        <w:rPr>
          <w:sz w:val="22"/>
          <w:szCs w:val="22"/>
        </w:rPr>
        <w:t>llow for small-scale innovation and experimentation by providing funding to develop a research project or conduct pilot work</w:t>
      </w:r>
      <w:r w:rsidR="002171DC">
        <w:rPr>
          <w:sz w:val="22"/>
          <w:szCs w:val="22"/>
        </w:rPr>
        <w:t>.</w:t>
      </w:r>
    </w:p>
    <w:p w:rsidR="00375267" w:rsidRPr="00007E6F" w:rsidRDefault="00375267" w:rsidP="00FC25FD">
      <w:pPr>
        <w:pStyle w:val="BodyText"/>
        <w:numPr>
          <w:ilvl w:val="0"/>
          <w:numId w:val="3"/>
        </w:numPr>
        <w:ind w:right="896"/>
        <w:rPr>
          <w:sz w:val="22"/>
          <w:szCs w:val="22"/>
        </w:rPr>
      </w:pPr>
      <w:r w:rsidRPr="00007E6F">
        <w:rPr>
          <w:sz w:val="22"/>
          <w:szCs w:val="22"/>
        </w:rPr>
        <w:t>E</w:t>
      </w:r>
      <w:r w:rsidR="00370776" w:rsidRPr="00007E6F">
        <w:rPr>
          <w:sz w:val="22"/>
          <w:szCs w:val="22"/>
        </w:rPr>
        <w:t>nable</w:t>
      </w:r>
      <w:r w:rsidR="007F1C66" w:rsidRPr="00007E6F">
        <w:rPr>
          <w:sz w:val="22"/>
          <w:szCs w:val="22"/>
        </w:rPr>
        <w:t>s</w:t>
      </w:r>
      <w:r w:rsidR="00370776" w:rsidRPr="00007E6F">
        <w:rPr>
          <w:sz w:val="22"/>
          <w:szCs w:val="22"/>
        </w:rPr>
        <w:t xml:space="preserve"> researchers to hire students at any level to partici</w:t>
      </w:r>
      <w:r w:rsidR="00A813AD">
        <w:rPr>
          <w:sz w:val="22"/>
          <w:szCs w:val="22"/>
        </w:rPr>
        <w:t>pate in their research projects</w:t>
      </w:r>
      <w:r w:rsidR="00FC25FD">
        <w:rPr>
          <w:sz w:val="22"/>
          <w:szCs w:val="22"/>
        </w:rPr>
        <w:t xml:space="preserve">. </w:t>
      </w:r>
      <w:r w:rsidR="00FC25FD" w:rsidRPr="00FC25FD">
        <w:rPr>
          <w:sz w:val="22"/>
          <w:szCs w:val="22"/>
        </w:rPr>
        <w:t xml:space="preserve">SSHRC expects that all SIG-funded research training will incorporate appropriate dimensions of the </w:t>
      </w:r>
      <w:hyperlink r:id="rId7" w:history="1">
        <w:r w:rsidR="00FC25FD" w:rsidRPr="00FC25FD">
          <w:rPr>
            <w:rStyle w:val="Hyperlink"/>
            <w:sz w:val="22"/>
            <w:szCs w:val="22"/>
          </w:rPr>
          <w:t>Guidelines for Effective Research Training</w:t>
        </w:r>
      </w:hyperlink>
      <w:r w:rsidR="00FC25FD" w:rsidRPr="00FC25FD">
        <w:rPr>
          <w:sz w:val="22"/>
          <w:szCs w:val="22"/>
        </w:rPr>
        <w:t>.</w:t>
      </w:r>
    </w:p>
    <w:p w:rsidR="00370776" w:rsidRPr="00007E6F" w:rsidRDefault="007E0359" w:rsidP="007E0359">
      <w:pPr>
        <w:pStyle w:val="BodyText"/>
        <w:numPr>
          <w:ilvl w:val="0"/>
          <w:numId w:val="3"/>
        </w:numPr>
        <w:ind w:right="896"/>
        <w:rPr>
          <w:sz w:val="22"/>
          <w:szCs w:val="22"/>
        </w:rPr>
      </w:pPr>
      <w:r w:rsidRPr="007E0359">
        <w:rPr>
          <w:sz w:val="22"/>
          <w:szCs w:val="22"/>
        </w:rPr>
        <w:t>support social sciences and humanities researchers with modest research funding requirements at any stage of career</w:t>
      </w:r>
      <w:r w:rsidR="002171DC">
        <w:rPr>
          <w:sz w:val="22"/>
          <w:szCs w:val="22"/>
        </w:rPr>
        <w:t>.</w:t>
      </w:r>
    </w:p>
    <w:p w:rsidR="00370776" w:rsidRPr="00B629C7" w:rsidRDefault="00370776" w:rsidP="002056E0">
      <w:pPr>
        <w:pStyle w:val="BodyText"/>
        <w:numPr>
          <w:ilvl w:val="0"/>
          <w:numId w:val="6"/>
        </w:numPr>
        <w:spacing w:before="120"/>
        <w:ind w:left="357" w:right="896" w:hanging="357"/>
        <w:rPr>
          <w:b/>
          <w:color w:val="0F243E" w:themeColor="text2" w:themeShade="80"/>
        </w:rPr>
      </w:pPr>
      <w:r w:rsidRPr="00B629C7">
        <w:rPr>
          <w:b/>
          <w:color w:val="0F243E" w:themeColor="text2" w:themeShade="80"/>
        </w:rPr>
        <w:t xml:space="preserve">SSHRC </w:t>
      </w:r>
      <w:r w:rsidR="008B379F">
        <w:rPr>
          <w:b/>
          <w:color w:val="0F243E" w:themeColor="text2" w:themeShade="80"/>
        </w:rPr>
        <w:t>Exchange</w:t>
      </w:r>
      <w:r w:rsidRPr="00B629C7">
        <w:rPr>
          <w:b/>
          <w:color w:val="0F243E" w:themeColor="text2" w:themeShade="80"/>
        </w:rPr>
        <w:t xml:space="preserve"> Grants </w:t>
      </w:r>
      <w:r w:rsidR="00375267" w:rsidRPr="00B629C7">
        <w:rPr>
          <w:b/>
          <w:color w:val="0F243E" w:themeColor="text2" w:themeShade="80"/>
        </w:rPr>
        <w:t>– Dissemination funds</w:t>
      </w:r>
      <w:r w:rsidR="00E14E8C" w:rsidRPr="00B629C7">
        <w:rPr>
          <w:b/>
          <w:color w:val="0F243E" w:themeColor="text2" w:themeShade="80"/>
        </w:rPr>
        <w:t>:</w:t>
      </w:r>
    </w:p>
    <w:p w:rsidR="00370776" w:rsidRPr="00007E6F" w:rsidRDefault="00370776" w:rsidP="00370776">
      <w:pPr>
        <w:pStyle w:val="BodyText"/>
        <w:numPr>
          <w:ilvl w:val="0"/>
          <w:numId w:val="4"/>
        </w:numPr>
        <w:ind w:right="898"/>
        <w:rPr>
          <w:sz w:val="22"/>
          <w:szCs w:val="22"/>
        </w:rPr>
      </w:pPr>
      <w:r w:rsidRPr="00007E6F">
        <w:rPr>
          <w:sz w:val="22"/>
          <w:szCs w:val="22"/>
        </w:rPr>
        <w:t>Allow</w:t>
      </w:r>
      <w:r w:rsidR="007F1C66" w:rsidRPr="00007E6F">
        <w:rPr>
          <w:sz w:val="22"/>
          <w:szCs w:val="22"/>
        </w:rPr>
        <w:t>s</w:t>
      </w:r>
      <w:r w:rsidRPr="00007E6F">
        <w:rPr>
          <w:sz w:val="22"/>
          <w:szCs w:val="22"/>
        </w:rPr>
        <w:t xml:space="preserve"> researchers to present their research at scholarly conferences and other dissemination venues that align with SSHRC’s mandate to advance their careers and encourage the exchange of ideas and research results at the n</w:t>
      </w:r>
      <w:r w:rsidR="002171DC">
        <w:rPr>
          <w:sz w:val="22"/>
          <w:szCs w:val="22"/>
        </w:rPr>
        <w:t>ational and international level.</w:t>
      </w:r>
    </w:p>
    <w:p w:rsidR="00375267" w:rsidRPr="00007E6F" w:rsidRDefault="00370776" w:rsidP="00954AD7">
      <w:pPr>
        <w:pStyle w:val="BodyText"/>
        <w:numPr>
          <w:ilvl w:val="0"/>
          <w:numId w:val="4"/>
        </w:numPr>
        <w:ind w:right="898"/>
        <w:rPr>
          <w:sz w:val="22"/>
          <w:szCs w:val="22"/>
        </w:rPr>
      </w:pPr>
      <w:r w:rsidRPr="00007E6F">
        <w:rPr>
          <w:sz w:val="22"/>
          <w:szCs w:val="22"/>
        </w:rPr>
        <w:t>Support</w:t>
      </w:r>
      <w:r w:rsidR="007F1C66" w:rsidRPr="00007E6F">
        <w:rPr>
          <w:sz w:val="22"/>
          <w:szCs w:val="22"/>
        </w:rPr>
        <w:t>s</w:t>
      </w:r>
      <w:r w:rsidRPr="00007E6F">
        <w:rPr>
          <w:sz w:val="22"/>
          <w:szCs w:val="22"/>
        </w:rPr>
        <w:t xml:space="preserve"> the organization of small-scale knowledge mobilization activities, such as workshops and seminars, to encourage collaboration and dissemination of research results within and beyond the academy</w:t>
      </w:r>
      <w:r w:rsidR="002171DC">
        <w:rPr>
          <w:sz w:val="22"/>
          <w:szCs w:val="22"/>
        </w:rPr>
        <w:t>.</w:t>
      </w:r>
    </w:p>
    <w:p w:rsidR="00954AD7" w:rsidRPr="00F14C95" w:rsidRDefault="00954AD7" w:rsidP="00F14C95">
      <w:pPr>
        <w:pStyle w:val="Heading1"/>
        <w:spacing w:after="60"/>
        <w:ind w:left="142"/>
        <w:rPr>
          <w:rStyle w:val="IntenseEmphasis"/>
          <w:i w:val="0"/>
          <w:color w:val="000000" w:themeColor="text1"/>
        </w:rPr>
      </w:pPr>
      <w:r w:rsidRPr="00F14C95">
        <w:rPr>
          <w:rStyle w:val="IntenseEmphasis"/>
          <w:i w:val="0"/>
          <w:color w:val="000000" w:themeColor="text1"/>
        </w:rPr>
        <w:t>Eligibility</w:t>
      </w:r>
    </w:p>
    <w:p w:rsidR="00456E81" w:rsidRPr="00007E6F" w:rsidRDefault="00456E81" w:rsidP="00007E6F">
      <w:pPr>
        <w:pStyle w:val="BodyText"/>
        <w:numPr>
          <w:ilvl w:val="0"/>
          <w:numId w:val="5"/>
        </w:numPr>
        <w:ind w:left="896" w:right="535" w:hanging="357"/>
        <w:rPr>
          <w:sz w:val="22"/>
          <w:szCs w:val="22"/>
        </w:rPr>
      </w:pPr>
      <w:r w:rsidRPr="00007E6F">
        <w:rPr>
          <w:sz w:val="22"/>
          <w:szCs w:val="22"/>
        </w:rPr>
        <w:t>The applicant must be a full-time regular Concordia University of Edmonton faculty member conducting research in a discipline supported by SSHRC.</w:t>
      </w:r>
    </w:p>
    <w:p w:rsidR="00045148" w:rsidRPr="00007E6F" w:rsidRDefault="00045148" w:rsidP="0020124B">
      <w:pPr>
        <w:pStyle w:val="BodyText"/>
        <w:numPr>
          <w:ilvl w:val="0"/>
          <w:numId w:val="5"/>
        </w:numPr>
        <w:ind w:right="535"/>
        <w:rPr>
          <w:sz w:val="22"/>
          <w:szCs w:val="22"/>
        </w:rPr>
      </w:pPr>
      <w:r w:rsidRPr="00007E6F">
        <w:rPr>
          <w:sz w:val="22"/>
          <w:szCs w:val="22"/>
        </w:rPr>
        <w:t xml:space="preserve">The proposed </w:t>
      </w:r>
      <w:r w:rsidR="00921FCC">
        <w:rPr>
          <w:sz w:val="22"/>
          <w:szCs w:val="22"/>
        </w:rPr>
        <w:t xml:space="preserve">project or </w:t>
      </w:r>
      <w:r w:rsidRPr="00007E6F">
        <w:rPr>
          <w:sz w:val="22"/>
          <w:szCs w:val="22"/>
        </w:rPr>
        <w:t xml:space="preserve">activity must meet SSHRC </w:t>
      </w:r>
      <w:hyperlink r:id="rId8" w:history="1">
        <w:r w:rsidRPr="00921FCC">
          <w:rPr>
            <w:rStyle w:val="Hyperlink"/>
            <w:sz w:val="22"/>
            <w:szCs w:val="22"/>
          </w:rPr>
          <w:t xml:space="preserve">subject matter </w:t>
        </w:r>
        <w:r w:rsidR="00921FCC">
          <w:rPr>
            <w:rStyle w:val="Hyperlink"/>
            <w:sz w:val="22"/>
            <w:szCs w:val="22"/>
          </w:rPr>
          <w:t xml:space="preserve">eligibility </w:t>
        </w:r>
        <w:r w:rsidRPr="00921FCC">
          <w:rPr>
            <w:rStyle w:val="Hyperlink"/>
            <w:sz w:val="22"/>
            <w:szCs w:val="22"/>
          </w:rPr>
          <w:t>criteria</w:t>
        </w:r>
      </w:hyperlink>
      <w:r w:rsidR="009144F1">
        <w:rPr>
          <w:sz w:val="22"/>
          <w:szCs w:val="22"/>
        </w:rPr>
        <w:t>.</w:t>
      </w:r>
      <w:r w:rsidR="0020124B">
        <w:rPr>
          <w:sz w:val="22"/>
          <w:szCs w:val="22"/>
        </w:rPr>
        <w:t xml:space="preserve"> Projects and activities must be </w:t>
      </w:r>
      <w:r w:rsidR="0020124B" w:rsidRPr="0020124B">
        <w:rPr>
          <w:sz w:val="22"/>
          <w:szCs w:val="22"/>
        </w:rPr>
        <w:t>in the social sciences and humanities</w:t>
      </w:r>
      <w:r w:rsidR="0020124B">
        <w:rPr>
          <w:sz w:val="22"/>
          <w:szCs w:val="22"/>
        </w:rPr>
        <w:t xml:space="preserve"> and </w:t>
      </w:r>
      <w:r w:rsidR="0020124B" w:rsidRPr="0020124B">
        <w:rPr>
          <w:sz w:val="22"/>
          <w:szCs w:val="22"/>
        </w:rPr>
        <w:t>aligned with SSHRC's mandate</w:t>
      </w:r>
      <w:r w:rsidR="0020124B">
        <w:rPr>
          <w:sz w:val="22"/>
          <w:szCs w:val="22"/>
        </w:rPr>
        <w:t>.</w:t>
      </w:r>
    </w:p>
    <w:p w:rsidR="00F12B36" w:rsidRPr="00007E6F" w:rsidRDefault="00F12B36" w:rsidP="00007E6F">
      <w:pPr>
        <w:pStyle w:val="BodyText"/>
        <w:numPr>
          <w:ilvl w:val="0"/>
          <w:numId w:val="5"/>
        </w:numPr>
        <w:ind w:left="896" w:right="535" w:hanging="357"/>
        <w:rPr>
          <w:sz w:val="22"/>
          <w:szCs w:val="22"/>
        </w:rPr>
      </w:pPr>
      <w:r w:rsidRPr="00007E6F">
        <w:rPr>
          <w:sz w:val="22"/>
          <w:szCs w:val="22"/>
        </w:rPr>
        <w:t>Individuals may not hold more than one SIG-funded grant at a time for the same activity</w:t>
      </w:r>
      <w:r w:rsidR="008F43F6" w:rsidRPr="00007E6F">
        <w:rPr>
          <w:sz w:val="22"/>
          <w:szCs w:val="22"/>
        </w:rPr>
        <w:t>.</w:t>
      </w:r>
    </w:p>
    <w:p w:rsidR="002A3608" w:rsidRPr="00007E6F" w:rsidRDefault="002A3608" w:rsidP="002A3608">
      <w:pPr>
        <w:pStyle w:val="BodyText"/>
        <w:numPr>
          <w:ilvl w:val="0"/>
          <w:numId w:val="5"/>
        </w:numPr>
        <w:ind w:left="896" w:right="535" w:hanging="357"/>
        <w:rPr>
          <w:sz w:val="22"/>
          <w:szCs w:val="22"/>
        </w:rPr>
      </w:pPr>
      <w:r>
        <w:rPr>
          <w:sz w:val="22"/>
          <w:szCs w:val="22"/>
        </w:rPr>
        <w:t>There must be no duplication of funding for the project or activity from other sources, internal or external.</w:t>
      </w:r>
    </w:p>
    <w:p w:rsidR="002A3608" w:rsidRDefault="002A3608" w:rsidP="002A3608">
      <w:pPr>
        <w:pStyle w:val="ListParagraph"/>
        <w:numPr>
          <w:ilvl w:val="0"/>
          <w:numId w:val="5"/>
        </w:numPr>
        <w:spacing w:before="0"/>
        <w:ind w:left="896" w:hanging="357"/>
      </w:pPr>
      <w:r w:rsidRPr="00007E6F">
        <w:t xml:space="preserve">Applicants may not </w:t>
      </w:r>
      <w:r>
        <w:t xml:space="preserve">apply for a </w:t>
      </w:r>
      <w:r w:rsidRPr="00007E6F">
        <w:t>subsequent SSHRC Explore or Exchange Grant until a fully complete expense claim and final report have been submitted for the previous grant.</w:t>
      </w:r>
    </w:p>
    <w:p w:rsidR="00921FCC" w:rsidRDefault="00921FCC" w:rsidP="00921FCC">
      <w:pPr>
        <w:pStyle w:val="BodyText"/>
        <w:numPr>
          <w:ilvl w:val="0"/>
          <w:numId w:val="5"/>
        </w:numPr>
        <w:ind w:left="896" w:right="535" w:hanging="357"/>
        <w:rPr>
          <w:sz w:val="22"/>
          <w:szCs w:val="22"/>
        </w:rPr>
      </w:pPr>
      <w:r w:rsidRPr="00007E6F">
        <w:rPr>
          <w:sz w:val="22"/>
          <w:szCs w:val="22"/>
        </w:rPr>
        <w:lastRenderedPageBreak/>
        <w:t xml:space="preserve">If awarded an Explore Grant, the applicant must commit to submitting a SSHRC grant application (e.g., Insight; Insight Development; Partnership Engage) within </w:t>
      </w:r>
      <w:r>
        <w:rPr>
          <w:sz w:val="22"/>
          <w:szCs w:val="22"/>
        </w:rPr>
        <w:t>2</w:t>
      </w:r>
      <w:r w:rsidRPr="00007E6F">
        <w:rPr>
          <w:sz w:val="22"/>
          <w:szCs w:val="22"/>
        </w:rPr>
        <w:t xml:space="preserve"> years of the expiration date of their grant.</w:t>
      </w:r>
    </w:p>
    <w:p w:rsidR="00F14C95" w:rsidRPr="00856C82" w:rsidRDefault="002A3608" w:rsidP="00856C82">
      <w:pPr>
        <w:pStyle w:val="ListParagraph"/>
        <w:numPr>
          <w:ilvl w:val="0"/>
          <w:numId w:val="5"/>
        </w:numPr>
        <w:spacing w:before="0"/>
        <w:ind w:left="896" w:hanging="357"/>
        <w:rPr>
          <w:rStyle w:val="IntenseEmphasis"/>
          <w:i w:val="0"/>
          <w:iCs w:val="0"/>
          <w:color w:val="auto"/>
        </w:rPr>
      </w:pPr>
      <w:r>
        <w:t>Grant recipients must acknowledge SSHRC support for thei</w:t>
      </w:r>
      <w:r w:rsidR="00856C82">
        <w:t>r research or activity.</w:t>
      </w:r>
    </w:p>
    <w:p w:rsidR="004743B0" w:rsidRPr="00F14C95" w:rsidRDefault="004743B0" w:rsidP="004743B0">
      <w:pPr>
        <w:pStyle w:val="Heading1"/>
        <w:spacing w:after="60"/>
        <w:ind w:left="142"/>
        <w:rPr>
          <w:rStyle w:val="IntenseEmphasis"/>
          <w:i w:val="0"/>
          <w:color w:val="000000" w:themeColor="text1"/>
        </w:rPr>
      </w:pPr>
      <w:r w:rsidRPr="00F14C95">
        <w:rPr>
          <w:rStyle w:val="IntenseEmphasis"/>
          <w:i w:val="0"/>
          <w:color w:val="000000" w:themeColor="text1"/>
        </w:rPr>
        <w:t>Deadlines</w:t>
      </w:r>
    </w:p>
    <w:p w:rsidR="004743B0" w:rsidRPr="00384D6A" w:rsidRDefault="004743B0" w:rsidP="004743B0">
      <w:pPr>
        <w:pStyle w:val="Heading1"/>
        <w:spacing w:before="120" w:after="60"/>
        <w:ind w:left="142"/>
        <w:rPr>
          <w:b w:val="0"/>
          <w:bCs w:val="0"/>
          <w:iCs/>
          <w:sz w:val="22"/>
          <w:szCs w:val="22"/>
        </w:rPr>
      </w:pPr>
      <w:r>
        <w:rPr>
          <w:b w:val="0"/>
          <w:bCs w:val="0"/>
          <w:iCs/>
          <w:sz w:val="22"/>
          <w:szCs w:val="22"/>
        </w:rPr>
        <w:t>The first a</w:t>
      </w:r>
      <w:r w:rsidRPr="00384D6A">
        <w:rPr>
          <w:b w:val="0"/>
          <w:bCs w:val="0"/>
          <w:iCs/>
          <w:sz w:val="22"/>
          <w:szCs w:val="22"/>
        </w:rPr>
        <w:t xml:space="preserve">pplication deadline is midnight on April 30, 2019. Deadlines for subsequent competitions to be determined. </w:t>
      </w:r>
    </w:p>
    <w:p w:rsidR="00B330E6" w:rsidRPr="00F14C95" w:rsidRDefault="00DD543B" w:rsidP="00F14C95">
      <w:pPr>
        <w:pStyle w:val="Heading1"/>
        <w:spacing w:after="60"/>
        <w:ind w:left="142"/>
        <w:rPr>
          <w:rStyle w:val="IntenseEmphasis"/>
          <w:i w:val="0"/>
          <w:color w:val="000000" w:themeColor="text1"/>
        </w:rPr>
      </w:pPr>
      <w:r w:rsidRPr="00F14C95">
        <w:rPr>
          <w:rStyle w:val="IntenseEmphasis"/>
          <w:i w:val="0"/>
          <w:color w:val="000000" w:themeColor="text1"/>
        </w:rPr>
        <w:t>Value and Duration</w:t>
      </w:r>
    </w:p>
    <w:p w:rsidR="00F164D1" w:rsidRPr="00F164D1" w:rsidRDefault="00F164D1" w:rsidP="00F164D1">
      <w:pPr>
        <w:pStyle w:val="BodyText"/>
        <w:numPr>
          <w:ilvl w:val="0"/>
          <w:numId w:val="5"/>
        </w:numPr>
        <w:ind w:left="896" w:right="535" w:hanging="357"/>
        <w:rPr>
          <w:sz w:val="22"/>
          <w:szCs w:val="22"/>
        </w:rPr>
      </w:pPr>
      <w:r w:rsidRPr="00F164D1">
        <w:rPr>
          <w:sz w:val="22"/>
          <w:szCs w:val="22"/>
        </w:rPr>
        <w:t>SSHRC Explore Grants: 3 awards of a maximum of $4000 CDN each.</w:t>
      </w:r>
    </w:p>
    <w:p w:rsidR="00F164D1" w:rsidRPr="00F164D1" w:rsidRDefault="00F164D1" w:rsidP="00F164D1">
      <w:pPr>
        <w:pStyle w:val="BodyText"/>
        <w:numPr>
          <w:ilvl w:val="0"/>
          <w:numId w:val="5"/>
        </w:numPr>
        <w:ind w:left="896" w:right="535" w:hanging="357"/>
        <w:rPr>
          <w:sz w:val="22"/>
          <w:szCs w:val="22"/>
        </w:rPr>
      </w:pPr>
      <w:r w:rsidRPr="00F164D1">
        <w:rPr>
          <w:sz w:val="22"/>
          <w:szCs w:val="22"/>
        </w:rPr>
        <w:t>SSHRC Exchange Grants: 2 awards of a maximum $1500 CDN each.</w:t>
      </w:r>
    </w:p>
    <w:p w:rsidR="00B330E6" w:rsidRPr="00F14C95" w:rsidRDefault="001B2D3C" w:rsidP="00B6120E">
      <w:pPr>
        <w:pStyle w:val="Heading1"/>
        <w:spacing w:before="60" w:after="60"/>
        <w:ind w:left="142"/>
        <w:rPr>
          <w:b w:val="0"/>
          <w:bCs w:val="0"/>
          <w:iCs/>
          <w:sz w:val="22"/>
          <w:szCs w:val="22"/>
        </w:rPr>
      </w:pPr>
      <w:r w:rsidRPr="00F14C95">
        <w:rPr>
          <w:b w:val="0"/>
          <w:bCs w:val="0"/>
          <w:iCs/>
          <w:sz w:val="22"/>
          <w:szCs w:val="22"/>
        </w:rPr>
        <w:t xml:space="preserve">Once awarded, grant funds remain active for </w:t>
      </w:r>
      <w:r w:rsidR="00DB1BA8" w:rsidRPr="00F14C95">
        <w:rPr>
          <w:b w:val="0"/>
          <w:bCs w:val="0"/>
          <w:iCs/>
          <w:sz w:val="22"/>
          <w:szCs w:val="22"/>
        </w:rPr>
        <w:t>12 months</w:t>
      </w:r>
      <w:r w:rsidRPr="00F14C95">
        <w:rPr>
          <w:b w:val="0"/>
          <w:bCs w:val="0"/>
          <w:iCs/>
          <w:sz w:val="22"/>
          <w:szCs w:val="22"/>
        </w:rPr>
        <w:t>. After completion, funds will expire, and unused funds will be reclaimed.</w:t>
      </w:r>
    </w:p>
    <w:p w:rsidR="00B330E6" w:rsidRPr="00384D6A" w:rsidRDefault="00B330E6" w:rsidP="00F14C95">
      <w:pPr>
        <w:pStyle w:val="Heading1"/>
        <w:spacing w:after="60"/>
        <w:ind w:left="142"/>
        <w:rPr>
          <w:rStyle w:val="IntenseEmphasis"/>
          <w:i w:val="0"/>
          <w:color w:val="000000" w:themeColor="text1"/>
        </w:rPr>
      </w:pPr>
      <w:r w:rsidRPr="00384D6A">
        <w:rPr>
          <w:rStyle w:val="IntenseEmphasis"/>
          <w:i w:val="0"/>
          <w:color w:val="000000" w:themeColor="text1"/>
        </w:rPr>
        <w:t>Final Reports</w:t>
      </w:r>
    </w:p>
    <w:p w:rsidR="001B2D3C" w:rsidRPr="00B920ED" w:rsidRDefault="00045148" w:rsidP="005136C3">
      <w:pPr>
        <w:pStyle w:val="BodyText"/>
        <w:numPr>
          <w:ilvl w:val="0"/>
          <w:numId w:val="5"/>
        </w:numPr>
        <w:ind w:left="896" w:right="535" w:hanging="357"/>
        <w:rPr>
          <w:sz w:val="22"/>
          <w:szCs w:val="22"/>
        </w:rPr>
      </w:pPr>
      <w:r w:rsidRPr="00B920ED">
        <w:rPr>
          <w:sz w:val="22"/>
          <w:szCs w:val="22"/>
        </w:rPr>
        <w:t xml:space="preserve">Explore Grants: </w:t>
      </w:r>
      <w:r w:rsidR="00DB1BA8" w:rsidRPr="00B920ED">
        <w:rPr>
          <w:sz w:val="22"/>
          <w:szCs w:val="22"/>
        </w:rPr>
        <w:t xml:space="preserve">A fully complete expense claim </w:t>
      </w:r>
      <w:r w:rsidR="003B2618" w:rsidRPr="00B920ED">
        <w:rPr>
          <w:sz w:val="22"/>
          <w:szCs w:val="22"/>
        </w:rPr>
        <w:t xml:space="preserve">and Final Activity Report </w:t>
      </w:r>
      <w:r w:rsidR="00DB1BA8" w:rsidRPr="00B920ED">
        <w:rPr>
          <w:sz w:val="22"/>
          <w:szCs w:val="22"/>
        </w:rPr>
        <w:t>must be submitted with</w:t>
      </w:r>
      <w:r w:rsidRPr="00B920ED">
        <w:rPr>
          <w:sz w:val="22"/>
          <w:szCs w:val="22"/>
        </w:rPr>
        <w:t>in 30 days of the end of the 12-</w:t>
      </w:r>
      <w:r w:rsidR="00DB1BA8" w:rsidRPr="00B920ED">
        <w:rPr>
          <w:sz w:val="22"/>
          <w:szCs w:val="22"/>
        </w:rPr>
        <w:t xml:space="preserve">month </w:t>
      </w:r>
      <w:r w:rsidRPr="00B920ED">
        <w:rPr>
          <w:sz w:val="22"/>
          <w:szCs w:val="22"/>
        </w:rPr>
        <w:t>grant term</w:t>
      </w:r>
      <w:r w:rsidR="00DB1BA8" w:rsidRPr="00B920ED">
        <w:rPr>
          <w:sz w:val="22"/>
          <w:szCs w:val="22"/>
        </w:rPr>
        <w:t>.</w:t>
      </w:r>
    </w:p>
    <w:p w:rsidR="00847768" w:rsidRPr="00A907F4" w:rsidRDefault="00045148" w:rsidP="00A907F4">
      <w:pPr>
        <w:pStyle w:val="BodyText"/>
        <w:numPr>
          <w:ilvl w:val="0"/>
          <w:numId w:val="5"/>
        </w:numPr>
        <w:ind w:left="896" w:right="535" w:hanging="357"/>
        <w:rPr>
          <w:sz w:val="22"/>
          <w:szCs w:val="22"/>
        </w:rPr>
      </w:pPr>
      <w:r w:rsidRPr="00B920ED">
        <w:rPr>
          <w:sz w:val="22"/>
          <w:szCs w:val="22"/>
        </w:rPr>
        <w:t xml:space="preserve">Exchange Grants: A fully complete expense claim </w:t>
      </w:r>
      <w:r w:rsidR="003B2618" w:rsidRPr="00B920ED">
        <w:rPr>
          <w:sz w:val="22"/>
          <w:szCs w:val="22"/>
        </w:rPr>
        <w:t xml:space="preserve">and Final Activity Report </w:t>
      </w:r>
      <w:r w:rsidRPr="00B920ED">
        <w:rPr>
          <w:sz w:val="22"/>
          <w:szCs w:val="22"/>
        </w:rPr>
        <w:t>must be submitted within 30 days of the completion of the dissemination activity.</w:t>
      </w:r>
    </w:p>
    <w:p w:rsidR="006E1145" w:rsidRPr="00384D6A" w:rsidRDefault="006E1145" w:rsidP="00384D6A">
      <w:pPr>
        <w:pStyle w:val="Heading1"/>
        <w:spacing w:after="60"/>
        <w:ind w:left="142"/>
        <w:rPr>
          <w:rStyle w:val="IntenseEmphasis"/>
          <w:i w:val="0"/>
          <w:color w:val="000000" w:themeColor="text1"/>
        </w:rPr>
      </w:pPr>
      <w:r w:rsidRPr="00384D6A">
        <w:rPr>
          <w:rStyle w:val="IntenseEmphasis"/>
          <w:i w:val="0"/>
          <w:color w:val="000000" w:themeColor="text1"/>
        </w:rPr>
        <w:t>Multiple Applications</w:t>
      </w:r>
    </w:p>
    <w:p w:rsidR="00233AA0" w:rsidRPr="00384D6A" w:rsidRDefault="00312FA3" w:rsidP="00384D6A">
      <w:pPr>
        <w:pStyle w:val="Heading1"/>
        <w:spacing w:before="120" w:after="60"/>
        <w:ind w:left="142"/>
        <w:rPr>
          <w:b w:val="0"/>
          <w:bCs w:val="0"/>
          <w:iCs/>
          <w:sz w:val="22"/>
          <w:szCs w:val="22"/>
        </w:rPr>
      </w:pPr>
      <w:r w:rsidRPr="00384D6A">
        <w:rPr>
          <w:b w:val="0"/>
          <w:bCs w:val="0"/>
          <w:iCs/>
          <w:sz w:val="22"/>
          <w:szCs w:val="22"/>
        </w:rPr>
        <w:t>App</w:t>
      </w:r>
      <w:r w:rsidR="00233AA0" w:rsidRPr="00384D6A">
        <w:rPr>
          <w:b w:val="0"/>
          <w:bCs w:val="0"/>
          <w:iCs/>
          <w:sz w:val="22"/>
          <w:szCs w:val="22"/>
        </w:rPr>
        <w:t xml:space="preserve">licants may apply for one </w:t>
      </w:r>
      <w:r w:rsidRPr="00384D6A">
        <w:rPr>
          <w:b w:val="0"/>
          <w:bCs w:val="0"/>
          <w:iCs/>
          <w:sz w:val="22"/>
          <w:szCs w:val="22"/>
        </w:rPr>
        <w:t xml:space="preserve">Explore and one Exchange </w:t>
      </w:r>
      <w:r w:rsidR="00233AA0" w:rsidRPr="00384D6A">
        <w:rPr>
          <w:b w:val="0"/>
          <w:bCs w:val="0"/>
          <w:iCs/>
          <w:sz w:val="22"/>
          <w:szCs w:val="22"/>
        </w:rPr>
        <w:t>Grant (use the appropriate application form for each stream)</w:t>
      </w:r>
      <w:r w:rsidR="00D47A9C">
        <w:rPr>
          <w:b w:val="0"/>
          <w:bCs w:val="0"/>
          <w:iCs/>
          <w:sz w:val="22"/>
          <w:szCs w:val="22"/>
        </w:rPr>
        <w:t xml:space="preserve"> per competition</w:t>
      </w:r>
      <w:r w:rsidR="00233AA0" w:rsidRPr="00384D6A">
        <w:rPr>
          <w:b w:val="0"/>
          <w:bCs w:val="0"/>
          <w:iCs/>
          <w:sz w:val="22"/>
          <w:szCs w:val="22"/>
        </w:rPr>
        <w:t>. Applicants may not submit multiple applications to one particular stream. Multiple requests (eg. multiple conference</w:t>
      </w:r>
      <w:r w:rsidR="00D47A9C">
        <w:rPr>
          <w:b w:val="0"/>
          <w:bCs w:val="0"/>
          <w:iCs/>
          <w:sz w:val="22"/>
          <w:szCs w:val="22"/>
        </w:rPr>
        <w:t xml:space="preserve"> presentations or two different research projects) </w:t>
      </w:r>
      <w:r w:rsidR="00233AA0" w:rsidRPr="00384D6A">
        <w:rPr>
          <w:b w:val="0"/>
          <w:bCs w:val="0"/>
          <w:iCs/>
          <w:sz w:val="22"/>
          <w:szCs w:val="22"/>
        </w:rPr>
        <w:t xml:space="preserve">one application form will NOT be considered. </w:t>
      </w:r>
    </w:p>
    <w:p w:rsidR="00847768" w:rsidRPr="00384D6A" w:rsidRDefault="00DD543B" w:rsidP="00384D6A">
      <w:pPr>
        <w:pStyle w:val="Heading1"/>
        <w:spacing w:after="60"/>
        <w:ind w:left="142"/>
        <w:rPr>
          <w:rStyle w:val="IntenseEmphasis"/>
          <w:i w:val="0"/>
          <w:color w:val="000000" w:themeColor="text1"/>
        </w:rPr>
      </w:pPr>
      <w:r w:rsidRPr="00384D6A">
        <w:rPr>
          <w:rStyle w:val="IntenseEmphasis"/>
          <w:i w:val="0"/>
          <w:color w:val="000000" w:themeColor="text1"/>
        </w:rPr>
        <w:t>Reviewers</w:t>
      </w:r>
    </w:p>
    <w:p w:rsidR="00847768" w:rsidRPr="00384D6A" w:rsidRDefault="00DD543B" w:rsidP="00384D6A">
      <w:pPr>
        <w:pStyle w:val="Heading1"/>
        <w:spacing w:before="120" w:after="60"/>
        <w:ind w:left="142"/>
        <w:rPr>
          <w:b w:val="0"/>
          <w:bCs w:val="0"/>
          <w:iCs/>
          <w:sz w:val="22"/>
          <w:szCs w:val="22"/>
        </w:rPr>
      </w:pPr>
      <w:r w:rsidRPr="00384D6A">
        <w:rPr>
          <w:b w:val="0"/>
          <w:bCs w:val="0"/>
          <w:iCs/>
          <w:sz w:val="22"/>
          <w:szCs w:val="22"/>
        </w:rPr>
        <w:t xml:space="preserve">Applications </w:t>
      </w:r>
      <w:r w:rsidR="00312FA3" w:rsidRPr="00384D6A">
        <w:rPr>
          <w:b w:val="0"/>
          <w:bCs w:val="0"/>
          <w:iCs/>
          <w:sz w:val="22"/>
          <w:szCs w:val="22"/>
        </w:rPr>
        <w:t xml:space="preserve">are assessed by </w:t>
      </w:r>
      <w:r w:rsidR="00550CFF" w:rsidRPr="00384D6A">
        <w:rPr>
          <w:b w:val="0"/>
          <w:bCs w:val="0"/>
          <w:iCs/>
          <w:sz w:val="22"/>
          <w:szCs w:val="22"/>
        </w:rPr>
        <w:t xml:space="preserve">the Research and Faculty Development Committee. </w:t>
      </w:r>
    </w:p>
    <w:p w:rsidR="00847768" w:rsidRPr="00384D6A" w:rsidRDefault="00DD543B" w:rsidP="00384D6A">
      <w:pPr>
        <w:pStyle w:val="Heading1"/>
        <w:spacing w:after="60"/>
        <w:ind w:left="142"/>
        <w:rPr>
          <w:rStyle w:val="IntenseEmphasis"/>
          <w:i w:val="0"/>
          <w:color w:val="000000" w:themeColor="text1"/>
        </w:rPr>
      </w:pPr>
      <w:r w:rsidRPr="00384D6A">
        <w:rPr>
          <w:rStyle w:val="IntenseEmphasis"/>
          <w:i w:val="0"/>
          <w:color w:val="000000" w:themeColor="text1"/>
        </w:rPr>
        <w:t>Adjudication</w:t>
      </w:r>
    </w:p>
    <w:p w:rsidR="00847768" w:rsidRPr="00C70BDC" w:rsidRDefault="004E1492" w:rsidP="00C70BDC">
      <w:pPr>
        <w:pStyle w:val="Heading1"/>
        <w:spacing w:before="120" w:after="60"/>
        <w:ind w:left="142"/>
        <w:rPr>
          <w:b w:val="0"/>
          <w:bCs w:val="0"/>
          <w:iCs/>
          <w:sz w:val="22"/>
          <w:szCs w:val="22"/>
        </w:rPr>
      </w:pPr>
      <w:r w:rsidRPr="00384D6A">
        <w:rPr>
          <w:b w:val="0"/>
          <w:bCs w:val="0"/>
          <w:iCs/>
          <w:sz w:val="22"/>
          <w:szCs w:val="22"/>
        </w:rPr>
        <w:t>Available f</w:t>
      </w:r>
      <w:r w:rsidR="00DD543B" w:rsidRPr="00384D6A">
        <w:rPr>
          <w:b w:val="0"/>
          <w:bCs w:val="0"/>
          <w:iCs/>
          <w:sz w:val="22"/>
          <w:szCs w:val="22"/>
        </w:rPr>
        <w:t xml:space="preserve">unds are awarded, through a competitive process. Applications are evaluated through a single-stage committee review process. Each reviewer will read and score all applications based upon the </w:t>
      </w:r>
      <w:r w:rsidRPr="00384D6A">
        <w:rPr>
          <w:b w:val="0"/>
          <w:bCs w:val="0"/>
          <w:iCs/>
          <w:sz w:val="22"/>
          <w:szCs w:val="22"/>
        </w:rPr>
        <w:t>Tri-Agency evaluation criteria</w:t>
      </w:r>
      <w:r w:rsidRPr="00384D6A">
        <w:rPr>
          <w:b w:val="0"/>
          <w:bCs w:val="0"/>
          <w:iCs/>
          <w:sz w:val="22"/>
          <w:szCs w:val="22"/>
        </w:rPr>
        <w:t xml:space="preserve"> listed. The ranked list will be submitted to the Vice President Academic and Provost for final approval and dissemination of funds. </w:t>
      </w:r>
      <w:r w:rsidR="001B2D3C" w:rsidRPr="00384D6A">
        <w:rPr>
          <w:b w:val="0"/>
          <w:bCs w:val="0"/>
          <w:iCs/>
          <w:sz w:val="22"/>
          <w:szCs w:val="22"/>
        </w:rPr>
        <w:t>As the demand for funds normally far exceeds the funds available, not all meritorious proposals can be awarded.</w:t>
      </w:r>
    </w:p>
    <w:p w:rsidR="00C70BDC" w:rsidRDefault="00C70BDC" w:rsidP="00C70BDC">
      <w:pPr>
        <w:pStyle w:val="Heading1"/>
        <w:ind w:left="181" w:right="425"/>
      </w:pPr>
      <w:r>
        <w:t>Appeals</w:t>
      </w:r>
    </w:p>
    <w:p w:rsidR="00C70BDC" w:rsidRDefault="00C70BDC" w:rsidP="00C70BDC">
      <w:pPr>
        <w:pStyle w:val="BodyText"/>
        <w:ind w:left="181" w:right="425"/>
      </w:pPr>
      <w:r>
        <w:t>All applications are confidential and the decision of the Research and Faculty Development Committee is final. There is no provision for appeal of funding decisions.</w:t>
      </w:r>
    </w:p>
    <w:p w:rsidR="00C70BDC" w:rsidRDefault="00C70BDC">
      <w:pPr>
        <w:sectPr w:rsidR="00C70BDC" w:rsidSect="00B4512A">
          <w:headerReference w:type="default" r:id="rId9"/>
          <w:footerReference w:type="default" r:id="rId10"/>
          <w:pgSz w:w="12240" w:h="15840"/>
          <w:pgMar w:top="1580" w:right="560" w:bottom="660" w:left="900" w:header="458" w:footer="1363" w:gutter="0"/>
          <w:cols w:space="720"/>
        </w:sectPr>
      </w:pPr>
    </w:p>
    <w:p w:rsidR="00847768" w:rsidRDefault="00DD543B" w:rsidP="0076431B">
      <w:pPr>
        <w:pStyle w:val="Heading1"/>
        <w:spacing w:before="240" w:after="120"/>
        <w:ind w:left="181"/>
      </w:pPr>
      <w:r>
        <w:lastRenderedPageBreak/>
        <w:t>Evaluation Criteria and Scoring</w:t>
      </w:r>
      <w:r w:rsidR="00550CFF">
        <w:t xml:space="preserve"> – Explore Grants</w:t>
      </w:r>
    </w:p>
    <w:p w:rsidR="00847768" w:rsidRPr="00D47A9C" w:rsidRDefault="00DD543B">
      <w:pPr>
        <w:pStyle w:val="BodyText"/>
        <w:spacing w:before="8"/>
        <w:ind w:left="180"/>
        <w:rPr>
          <w:color w:val="000000" w:themeColor="text1"/>
          <w:sz w:val="22"/>
          <w:szCs w:val="22"/>
        </w:rPr>
      </w:pPr>
      <w:r w:rsidRPr="00D47A9C">
        <w:rPr>
          <w:color w:val="000000" w:themeColor="text1"/>
          <w:sz w:val="22"/>
          <w:szCs w:val="22"/>
        </w:rPr>
        <w:t xml:space="preserve">The following criteria and scoring scheme are used to evaluate </w:t>
      </w:r>
      <w:r w:rsidR="00AF49E3" w:rsidRPr="00D47A9C">
        <w:rPr>
          <w:color w:val="000000" w:themeColor="text1"/>
          <w:sz w:val="22"/>
          <w:szCs w:val="22"/>
        </w:rPr>
        <w:t>Explore</w:t>
      </w:r>
      <w:r w:rsidRPr="00D47A9C">
        <w:rPr>
          <w:color w:val="000000" w:themeColor="text1"/>
          <w:sz w:val="22"/>
          <w:szCs w:val="22"/>
        </w:rPr>
        <w:t xml:space="preserve"> Grants</w:t>
      </w:r>
    </w:p>
    <w:p w:rsidR="00847768" w:rsidRDefault="00847768">
      <w:pPr>
        <w:pStyle w:val="BodyText"/>
        <w:rPr>
          <w:sz w:val="25"/>
        </w:rPr>
      </w:pPr>
    </w:p>
    <w:tbl>
      <w:tblPr>
        <w:tblW w:w="0" w:type="auto"/>
        <w:tblInd w:w="300"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left w:w="0" w:type="dxa"/>
          <w:right w:w="0" w:type="dxa"/>
        </w:tblCellMar>
        <w:tblLook w:val="01E0" w:firstRow="1" w:lastRow="1" w:firstColumn="1" w:lastColumn="1" w:noHBand="0" w:noVBand="0"/>
      </w:tblPr>
      <w:tblGrid>
        <w:gridCol w:w="562"/>
        <w:gridCol w:w="9268"/>
      </w:tblGrid>
      <w:tr w:rsidR="00847768">
        <w:trPr>
          <w:trHeight w:hRule="exact" w:val="522"/>
        </w:trPr>
        <w:tc>
          <w:tcPr>
            <w:tcW w:w="562" w:type="dxa"/>
            <w:vMerge w:val="restart"/>
            <w:tcBorders>
              <w:left w:val="single" w:sz="4" w:space="0" w:color="000000"/>
              <w:right w:val="single" w:sz="4" w:space="0" w:color="000000"/>
            </w:tcBorders>
            <w:shd w:val="clear" w:color="auto" w:fill="DBE4F0"/>
            <w:textDirection w:val="btLr"/>
          </w:tcPr>
          <w:p w:rsidR="00847768" w:rsidRDefault="00DD543B">
            <w:pPr>
              <w:pStyle w:val="TableParagraph"/>
              <w:spacing w:before="110"/>
              <w:ind w:left="956"/>
              <w:rPr>
                <w:b/>
                <w:sz w:val="24"/>
              </w:rPr>
            </w:pPr>
            <w:r>
              <w:rPr>
                <w:b/>
                <w:spacing w:val="-1"/>
                <w:sz w:val="24"/>
              </w:rPr>
              <w:t>C</w:t>
            </w:r>
            <w:r>
              <w:rPr>
                <w:b/>
                <w:sz w:val="24"/>
              </w:rPr>
              <w:t>h</w:t>
            </w:r>
            <w:r>
              <w:rPr>
                <w:b/>
                <w:spacing w:val="-1"/>
                <w:sz w:val="24"/>
              </w:rPr>
              <w:t>a</w:t>
            </w:r>
            <w:r>
              <w:rPr>
                <w:b/>
                <w:spacing w:val="1"/>
                <w:sz w:val="24"/>
              </w:rPr>
              <w:t>ll</w:t>
            </w:r>
            <w:r>
              <w:rPr>
                <w:b/>
                <w:spacing w:val="-4"/>
                <w:sz w:val="24"/>
              </w:rPr>
              <w:t>e</w:t>
            </w:r>
            <w:r>
              <w:rPr>
                <w:b/>
                <w:sz w:val="24"/>
              </w:rPr>
              <w:t>n</w:t>
            </w:r>
            <w:r>
              <w:rPr>
                <w:b/>
                <w:spacing w:val="-1"/>
                <w:sz w:val="24"/>
              </w:rPr>
              <w:t>g</w:t>
            </w:r>
            <w:r>
              <w:rPr>
                <w:b/>
                <w:sz w:val="24"/>
              </w:rPr>
              <w:t>e</w:t>
            </w:r>
            <w:r>
              <w:rPr>
                <w:b/>
                <w:spacing w:val="-3"/>
                <w:sz w:val="24"/>
              </w:rPr>
              <w:t xml:space="preserve"> </w:t>
            </w:r>
            <w:r>
              <w:rPr>
                <w:b/>
                <w:spacing w:val="-2"/>
                <w:sz w:val="24"/>
              </w:rPr>
              <w:t>6</w:t>
            </w:r>
            <w:r>
              <w:rPr>
                <w:b/>
                <w:sz w:val="24"/>
              </w:rPr>
              <w:t>0%</w:t>
            </w:r>
          </w:p>
        </w:tc>
        <w:tc>
          <w:tcPr>
            <w:tcW w:w="9268" w:type="dxa"/>
            <w:tcBorders>
              <w:left w:val="single" w:sz="4" w:space="0" w:color="000000"/>
              <w:bottom w:val="single" w:sz="4" w:space="0" w:color="000000"/>
              <w:right w:val="single" w:sz="4" w:space="0" w:color="000000"/>
            </w:tcBorders>
            <w:shd w:val="clear" w:color="auto" w:fill="DBE4F0"/>
          </w:tcPr>
          <w:p w:rsidR="00847768" w:rsidRDefault="00DD543B">
            <w:pPr>
              <w:pStyle w:val="TableParagraph"/>
              <w:spacing w:before="89"/>
              <w:rPr>
                <w:b/>
                <w:sz w:val="24"/>
              </w:rPr>
            </w:pPr>
            <w:r>
              <w:rPr>
                <w:b/>
                <w:sz w:val="24"/>
              </w:rPr>
              <w:t>The aim and importance of the proposed research</w:t>
            </w:r>
          </w:p>
        </w:tc>
      </w:tr>
      <w:tr w:rsidR="00847768">
        <w:trPr>
          <w:trHeight w:hRule="exact" w:val="355"/>
        </w:trPr>
        <w:tc>
          <w:tcPr>
            <w:tcW w:w="562" w:type="dxa"/>
            <w:vMerge/>
            <w:tcBorders>
              <w:left w:val="single" w:sz="4" w:space="0" w:color="000000"/>
              <w:right w:val="single" w:sz="4" w:space="0" w:color="000000"/>
            </w:tcBorders>
            <w:shd w:val="clear" w:color="auto" w:fill="DBE4F0"/>
            <w:textDirection w:val="btLr"/>
          </w:tcPr>
          <w:p w:rsidR="00847768" w:rsidRDefault="00847768"/>
        </w:tc>
        <w:tc>
          <w:tcPr>
            <w:tcW w:w="9268" w:type="dxa"/>
            <w:tcBorders>
              <w:top w:val="single" w:sz="4" w:space="0" w:color="000000"/>
              <w:left w:val="single" w:sz="4" w:space="0" w:color="000000"/>
              <w:bottom w:val="single" w:sz="4" w:space="0" w:color="000000"/>
              <w:right w:val="single" w:sz="4" w:space="0" w:color="000000"/>
            </w:tcBorders>
          </w:tcPr>
          <w:p w:rsidR="00847768" w:rsidRDefault="00DD543B">
            <w:pPr>
              <w:pStyle w:val="TableParagraph"/>
              <w:spacing w:before="40"/>
            </w:pPr>
            <w:r>
              <w:t>Originality, significance and expected contribution to knowledge</w:t>
            </w:r>
          </w:p>
        </w:tc>
      </w:tr>
      <w:tr w:rsidR="00847768">
        <w:trPr>
          <w:trHeight w:hRule="exact" w:val="355"/>
        </w:trPr>
        <w:tc>
          <w:tcPr>
            <w:tcW w:w="562" w:type="dxa"/>
            <w:vMerge/>
            <w:tcBorders>
              <w:left w:val="single" w:sz="4" w:space="0" w:color="000000"/>
              <w:right w:val="single" w:sz="4" w:space="0" w:color="000000"/>
            </w:tcBorders>
            <w:shd w:val="clear" w:color="auto" w:fill="DBE4F0"/>
            <w:textDirection w:val="btLr"/>
          </w:tcPr>
          <w:p w:rsidR="00847768" w:rsidRDefault="00847768"/>
        </w:tc>
        <w:tc>
          <w:tcPr>
            <w:tcW w:w="9268" w:type="dxa"/>
            <w:tcBorders>
              <w:top w:val="single" w:sz="4" w:space="0" w:color="000000"/>
              <w:left w:val="single" w:sz="4" w:space="0" w:color="000000"/>
              <w:bottom w:val="single" w:sz="4" w:space="0" w:color="000000"/>
              <w:right w:val="single" w:sz="4" w:space="0" w:color="000000"/>
            </w:tcBorders>
          </w:tcPr>
          <w:p w:rsidR="00847768" w:rsidRDefault="00DD543B">
            <w:pPr>
              <w:pStyle w:val="TableParagraph"/>
              <w:spacing w:before="40"/>
            </w:pPr>
            <w:r>
              <w:t>Clarity of objectives</w:t>
            </w:r>
          </w:p>
        </w:tc>
      </w:tr>
      <w:tr w:rsidR="00847768">
        <w:trPr>
          <w:trHeight w:hRule="exact" w:val="355"/>
        </w:trPr>
        <w:tc>
          <w:tcPr>
            <w:tcW w:w="562" w:type="dxa"/>
            <w:vMerge/>
            <w:tcBorders>
              <w:left w:val="single" w:sz="4" w:space="0" w:color="000000"/>
              <w:right w:val="single" w:sz="4" w:space="0" w:color="000000"/>
            </w:tcBorders>
            <w:shd w:val="clear" w:color="auto" w:fill="DBE4F0"/>
            <w:textDirection w:val="btLr"/>
          </w:tcPr>
          <w:p w:rsidR="00847768" w:rsidRDefault="00847768"/>
        </w:tc>
        <w:tc>
          <w:tcPr>
            <w:tcW w:w="9268" w:type="dxa"/>
            <w:tcBorders>
              <w:top w:val="single" w:sz="4" w:space="0" w:color="000000"/>
              <w:left w:val="single" w:sz="4" w:space="0" w:color="000000"/>
              <w:bottom w:val="single" w:sz="4" w:space="0" w:color="000000"/>
              <w:right w:val="single" w:sz="4" w:space="0" w:color="000000"/>
            </w:tcBorders>
          </w:tcPr>
          <w:p w:rsidR="00847768" w:rsidRDefault="00DD543B">
            <w:pPr>
              <w:pStyle w:val="TableParagraph"/>
              <w:spacing w:before="40"/>
            </w:pPr>
            <w:r>
              <w:t>Appropriateness of the literature review</w:t>
            </w:r>
          </w:p>
        </w:tc>
      </w:tr>
      <w:tr w:rsidR="00847768">
        <w:trPr>
          <w:trHeight w:hRule="exact" w:val="358"/>
        </w:trPr>
        <w:tc>
          <w:tcPr>
            <w:tcW w:w="562" w:type="dxa"/>
            <w:vMerge/>
            <w:tcBorders>
              <w:left w:val="single" w:sz="4" w:space="0" w:color="000000"/>
              <w:right w:val="single" w:sz="4" w:space="0" w:color="000000"/>
            </w:tcBorders>
            <w:shd w:val="clear" w:color="auto" w:fill="DBE4F0"/>
            <w:textDirection w:val="btLr"/>
          </w:tcPr>
          <w:p w:rsidR="00847768" w:rsidRDefault="00847768"/>
        </w:tc>
        <w:tc>
          <w:tcPr>
            <w:tcW w:w="9268" w:type="dxa"/>
            <w:tcBorders>
              <w:top w:val="single" w:sz="4" w:space="0" w:color="000000"/>
              <w:left w:val="single" w:sz="4" w:space="0" w:color="000000"/>
              <w:bottom w:val="single" w:sz="4" w:space="0" w:color="000000"/>
              <w:right w:val="single" w:sz="4" w:space="0" w:color="000000"/>
            </w:tcBorders>
          </w:tcPr>
          <w:p w:rsidR="00847768" w:rsidRDefault="00DD543B">
            <w:pPr>
              <w:pStyle w:val="TableParagraph"/>
              <w:spacing w:before="42"/>
            </w:pPr>
            <w:r>
              <w:t>Appropriateness of the theoretical approach or framework</w:t>
            </w:r>
          </w:p>
        </w:tc>
      </w:tr>
      <w:tr w:rsidR="00847768">
        <w:trPr>
          <w:trHeight w:hRule="exact" w:val="356"/>
        </w:trPr>
        <w:tc>
          <w:tcPr>
            <w:tcW w:w="562" w:type="dxa"/>
            <w:vMerge/>
            <w:tcBorders>
              <w:left w:val="single" w:sz="4" w:space="0" w:color="000000"/>
              <w:right w:val="single" w:sz="4" w:space="0" w:color="000000"/>
            </w:tcBorders>
            <w:shd w:val="clear" w:color="auto" w:fill="DBE4F0"/>
            <w:textDirection w:val="btLr"/>
          </w:tcPr>
          <w:p w:rsidR="00847768" w:rsidRDefault="00847768"/>
        </w:tc>
        <w:tc>
          <w:tcPr>
            <w:tcW w:w="9268" w:type="dxa"/>
            <w:tcBorders>
              <w:top w:val="single" w:sz="4" w:space="0" w:color="000000"/>
              <w:left w:val="single" w:sz="4" w:space="0" w:color="000000"/>
              <w:bottom w:val="single" w:sz="4" w:space="0" w:color="000000"/>
              <w:right w:val="single" w:sz="4" w:space="0" w:color="000000"/>
            </w:tcBorders>
          </w:tcPr>
          <w:p w:rsidR="00847768" w:rsidRDefault="00DD543B">
            <w:pPr>
              <w:pStyle w:val="TableParagraph"/>
              <w:spacing w:before="40"/>
            </w:pPr>
            <w:r>
              <w:t>Appropriateness of the methods / approach</w:t>
            </w:r>
          </w:p>
        </w:tc>
      </w:tr>
      <w:tr w:rsidR="00847768">
        <w:trPr>
          <w:trHeight w:hRule="exact" w:val="619"/>
        </w:trPr>
        <w:tc>
          <w:tcPr>
            <w:tcW w:w="562" w:type="dxa"/>
            <w:vMerge/>
            <w:tcBorders>
              <w:left w:val="single" w:sz="4" w:space="0" w:color="000000"/>
              <w:right w:val="single" w:sz="4" w:space="0" w:color="000000"/>
            </w:tcBorders>
            <w:shd w:val="clear" w:color="auto" w:fill="DBE4F0"/>
            <w:textDirection w:val="btLr"/>
          </w:tcPr>
          <w:p w:rsidR="00847768" w:rsidRDefault="00847768"/>
        </w:tc>
        <w:tc>
          <w:tcPr>
            <w:tcW w:w="9268" w:type="dxa"/>
            <w:tcBorders>
              <w:top w:val="single" w:sz="4" w:space="0" w:color="000000"/>
              <w:left w:val="single" w:sz="4" w:space="0" w:color="000000"/>
              <w:bottom w:val="single" w:sz="4" w:space="0" w:color="000000"/>
              <w:right w:val="single" w:sz="4" w:space="0" w:color="000000"/>
            </w:tcBorders>
          </w:tcPr>
          <w:p w:rsidR="00847768" w:rsidRDefault="00DD543B">
            <w:pPr>
              <w:pStyle w:val="TableParagraph"/>
              <w:spacing w:before="42"/>
              <w:ind w:right="297"/>
            </w:pPr>
            <w:r>
              <w:t>Quality of training and mentoring to be provided to students, emerging scholars and opportunities for them to contribute</w:t>
            </w:r>
          </w:p>
        </w:tc>
      </w:tr>
      <w:tr w:rsidR="00847768">
        <w:trPr>
          <w:trHeight w:hRule="exact" w:val="706"/>
        </w:trPr>
        <w:tc>
          <w:tcPr>
            <w:tcW w:w="562" w:type="dxa"/>
            <w:vMerge/>
            <w:tcBorders>
              <w:left w:val="single" w:sz="4" w:space="0" w:color="000000"/>
              <w:bottom w:val="thickThinMediumGap" w:sz="6" w:space="0" w:color="000000"/>
              <w:right w:val="single" w:sz="4" w:space="0" w:color="000000"/>
            </w:tcBorders>
            <w:shd w:val="clear" w:color="auto" w:fill="DBE4F0"/>
            <w:textDirection w:val="btLr"/>
          </w:tcPr>
          <w:p w:rsidR="00847768" w:rsidRDefault="00847768"/>
        </w:tc>
        <w:tc>
          <w:tcPr>
            <w:tcW w:w="9268" w:type="dxa"/>
            <w:tcBorders>
              <w:top w:val="single" w:sz="4" w:space="0" w:color="000000"/>
              <w:left w:val="single" w:sz="4" w:space="0" w:color="000000"/>
              <w:bottom w:val="thickThinMediumGap" w:sz="6" w:space="0" w:color="000000"/>
              <w:right w:val="single" w:sz="4" w:space="0" w:color="000000"/>
            </w:tcBorders>
          </w:tcPr>
          <w:p w:rsidR="00847768" w:rsidRDefault="00DD543B">
            <w:pPr>
              <w:pStyle w:val="TableParagraph"/>
              <w:spacing w:before="71"/>
              <w:ind w:right="889"/>
            </w:pPr>
            <w:r>
              <w:t>Potential influence and impact of the research within and/or beyond the academic research community, including potential to secure future external funding</w:t>
            </w:r>
          </w:p>
        </w:tc>
      </w:tr>
      <w:tr w:rsidR="00847768">
        <w:trPr>
          <w:trHeight w:hRule="exact" w:val="574"/>
        </w:trPr>
        <w:tc>
          <w:tcPr>
            <w:tcW w:w="562" w:type="dxa"/>
            <w:vMerge w:val="restart"/>
            <w:tcBorders>
              <w:left w:val="single" w:sz="4" w:space="0" w:color="000000"/>
              <w:right w:val="single" w:sz="4" w:space="0" w:color="000000"/>
            </w:tcBorders>
            <w:shd w:val="clear" w:color="auto" w:fill="FCE9D9"/>
            <w:textDirection w:val="btLr"/>
          </w:tcPr>
          <w:p w:rsidR="00847768" w:rsidRDefault="00DD543B">
            <w:pPr>
              <w:pStyle w:val="TableParagraph"/>
              <w:spacing w:before="108"/>
              <w:ind w:left="713"/>
              <w:rPr>
                <w:b/>
                <w:sz w:val="24"/>
              </w:rPr>
            </w:pPr>
            <w:r>
              <w:rPr>
                <w:b/>
                <w:sz w:val="24"/>
              </w:rPr>
              <w:t>Fe</w:t>
            </w:r>
            <w:r>
              <w:rPr>
                <w:b/>
                <w:spacing w:val="-2"/>
                <w:sz w:val="24"/>
              </w:rPr>
              <w:t>a</w:t>
            </w:r>
            <w:r>
              <w:rPr>
                <w:b/>
                <w:sz w:val="24"/>
              </w:rPr>
              <w:t>s</w:t>
            </w:r>
            <w:r>
              <w:rPr>
                <w:b/>
                <w:spacing w:val="-2"/>
                <w:sz w:val="24"/>
              </w:rPr>
              <w:t>i</w:t>
            </w:r>
            <w:r>
              <w:rPr>
                <w:b/>
                <w:sz w:val="24"/>
              </w:rPr>
              <w:t>b</w:t>
            </w:r>
            <w:r>
              <w:rPr>
                <w:b/>
                <w:spacing w:val="-2"/>
                <w:sz w:val="24"/>
              </w:rPr>
              <w:t>i</w:t>
            </w:r>
            <w:r>
              <w:rPr>
                <w:b/>
                <w:spacing w:val="1"/>
                <w:sz w:val="24"/>
              </w:rPr>
              <w:t>l</w:t>
            </w:r>
            <w:r>
              <w:rPr>
                <w:b/>
                <w:spacing w:val="-4"/>
                <w:sz w:val="24"/>
              </w:rPr>
              <w:t>i</w:t>
            </w:r>
            <w:r>
              <w:rPr>
                <w:b/>
                <w:sz w:val="24"/>
              </w:rPr>
              <w:t>ty</w:t>
            </w:r>
            <w:r>
              <w:rPr>
                <w:b/>
                <w:spacing w:val="-3"/>
                <w:sz w:val="24"/>
              </w:rPr>
              <w:t xml:space="preserve"> </w:t>
            </w:r>
            <w:r>
              <w:rPr>
                <w:b/>
                <w:sz w:val="24"/>
              </w:rPr>
              <w:t>20%</w:t>
            </w:r>
          </w:p>
        </w:tc>
        <w:tc>
          <w:tcPr>
            <w:tcW w:w="9268" w:type="dxa"/>
            <w:tcBorders>
              <w:left w:val="single" w:sz="4" w:space="0" w:color="000000"/>
              <w:bottom w:val="single" w:sz="4" w:space="0" w:color="000000"/>
              <w:right w:val="single" w:sz="4" w:space="0" w:color="000000"/>
            </w:tcBorders>
            <w:shd w:val="clear" w:color="auto" w:fill="FCE9D9"/>
          </w:tcPr>
          <w:p w:rsidR="00847768" w:rsidRDefault="00DD543B">
            <w:pPr>
              <w:pStyle w:val="TableParagraph"/>
              <w:spacing w:before="114"/>
              <w:rPr>
                <w:b/>
                <w:sz w:val="24"/>
              </w:rPr>
            </w:pPr>
            <w:r>
              <w:rPr>
                <w:b/>
                <w:sz w:val="24"/>
              </w:rPr>
              <w:t>The plan to achieve excellence</w:t>
            </w:r>
          </w:p>
        </w:tc>
      </w:tr>
      <w:tr w:rsidR="00847768">
        <w:trPr>
          <w:trHeight w:hRule="exact" w:val="350"/>
        </w:trPr>
        <w:tc>
          <w:tcPr>
            <w:tcW w:w="562" w:type="dxa"/>
            <w:vMerge/>
            <w:tcBorders>
              <w:left w:val="single" w:sz="4" w:space="0" w:color="000000"/>
              <w:right w:val="single" w:sz="4" w:space="0" w:color="000000"/>
            </w:tcBorders>
            <w:shd w:val="clear" w:color="auto" w:fill="FCE9D9"/>
            <w:textDirection w:val="btLr"/>
          </w:tcPr>
          <w:p w:rsidR="00847768" w:rsidRDefault="00847768"/>
        </w:tc>
        <w:tc>
          <w:tcPr>
            <w:tcW w:w="9268" w:type="dxa"/>
            <w:tcBorders>
              <w:top w:val="single" w:sz="4" w:space="0" w:color="000000"/>
              <w:left w:val="single" w:sz="4" w:space="0" w:color="000000"/>
              <w:bottom w:val="single" w:sz="4" w:space="0" w:color="000000"/>
              <w:right w:val="single" w:sz="4" w:space="0" w:color="000000"/>
            </w:tcBorders>
          </w:tcPr>
          <w:p w:rsidR="00847768" w:rsidRDefault="00DD543B">
            <w:pPr>
              <w:pStyle w:val="TableParagraph"/>
              <w:spacing w:before="28"/>
            </w:pPr>
            <w:r>
              <w:t>Probability that the objectives will be met within the timeline proposed</w:t>
            </w:r>
          </w:p>
        </w:tc>
      </w:tr>
      <w:tr w:rsidR="00847768">
        <w:trPr>
          <w:trHeight w:hRule="exact" w:val="355"/>
        </w:trPr>
        <w:tc>
          <w:tcPr>
            <w:tcW w:w="562" w:type="dxa"/>
            <w:vMerge/>
            <w:tcBorders>
              <w:left w:val="single" w:sz="4" w:space="0" w:color="000000"/>
              <w:right w:val="single" w:sz="4" w:space="0" w:color="000000"/>
            </w:tcBorders>
            <w:shd w:val="clear" w:color="auto" w:fill="FCE9D9"/>
            <w:textDirection w:val="btLr"/>
          </w:tcPr>
          <w:p w:rsidR="00847768" w:rsidRDefault="00847768"/>
        </w:tc>
        <w:tc>
          <w:tcPr>
            <w:tcW w:w="9268" w:type="dxa"/>
            <w:tcBorders>
              <w:top w:val="single" w:sz="4" w:space="0" w:color="000000"/>
              <w:left w:val="single" w:sz="4" w:space="0" w:color="000000"/>
              <w:bottom w:val="single" w:sz="4" w:space="0" w:color="000000"/>
              <w:right w:val="single" w:sz="4" w:space="0" w:color="000000"/>
            </w:tcBorders>
          </w:tcPr>
          <w:p w:rsidR="00847768" w:rsidRDefault="00DD543B">
            <w:pPr>
              <w:pStyle w:val="TableParagraph"/>
              <w:spacing w:before="30"/>
            </w:pPr>
            <w:r>
              <w:t>Appropriateness of the requested budget and justification of proposed costs</w:t>
            </w:r>
          </w:p>
        </w:tc>
      </w:tr>
      <w:tr w:rsidR="00847768">
        <w:trPr>
          <w:trHeight w:hRule="exact" w:val="980"/>
        </w:trPr>
        <w:tc>
          <w:tcPr>
            <w:tcW w:w="562" w:type="dxa"/>
            <w:vMerge/>
            <w:tcBorders>
              <w:left w:val="single" w:sz="4" w:space="0" w:color="000000"/>
              <w:right w:val="single" w:sz="4" w:space="0" w:color="000000"/>
            </w:tcBorders>
            <w:shd w:val="clear" w:color="auto" w:fill="FCE9D9"/>
            <w:textDirection w:val="btLr"/>
          </w:tcPr>
          <w:p w:rsidR="00847768" w:rsidRDefault="00847768"/>
        </w:tc>
        <w:tc>
          <w:tcPr>
            <w:tcW w:w="9268" w:type="dxa"/>
            <w:tcBorders>
              <w:top w:val="single" w:sz="4" w:space="0" w:color="000000"/>
              <w:left w:val="single" w:sz="4" w:space="0" w:color="000000"/>
              <w:bottom w:val="single" w:sz="4" w:space="0" w:color="000000"/>
              <w:right w:val="single" w:sz="4" w:space="0" w:color="000000"/>
            </w:tcBorders>
          </w:tcPr>
          <w:p w:rsidR="00847768" w:rsidRDefault="00DD543B">
            <w:pPr>
              <w:pStyle w:val="TableParagraph"/>
              <w:spacing w:before="78"/>
              <w:ind w:right="141"/>
            </w:pPr>
            <w:r>
              <w:t>Quality and appropriateness of knowledge mobilization plans, including effective dissemination, exchange and engagement with stakeholders within and/or beyond the research community, where applicable</w:t>
            </w:r>
          </w:p>
        </w:tc>
      </w:tr>
      <w:tr w:rsidR="00847768">
        <w:trPr>
          <w:trHeight w:hRule="exact" w:val="653"/>
        </w:trPr>
        <w:tc>
          <w:tcPr>
            <w:tcW w:w="562" w:type="dxa"/>
            <w:vMerge/>
            <w:tcBorders>
              <w:left w:val="single" w:sz="4" w:space="0" w:color="000000"/>
              <w:bottom w:val="single" w:sz="4" w:space="0" w:color="000000"/>
              <w:right w:val="single" w:sz="4" w:space="0" w:color="000000"/>
            </w:tcBorders>
            <w:shd w:val="clear" w:color="auto" w:fill="FCE9D9"/>
            <w:textDirection w:val="btLr"/>
          </w:tcPr>
          <w:p w:rsidR="00847768" w:rsidRDefault="00847768"/>
        </w:tc>
        <w:tc>
          <w:tcPr>
            <w:tcW w:w="9268" w:type="dxa"/>
            <w:tcBorders>
              <w:top w:val="single" w:sz="4" w:space="0" w:color="000000"/>
              <w:left w:val="single" w:sz="4" w:space="0" w:color="000000"/>
              <w:bottom w:val="single" w:sz="4" w:space="0" w:color="000000"/>
              <w:right w:val="single" w:sz="4" w:space="0" w:color="000000"/>
            </w:tcBorders>
          </w:tcPr>
          <w:p w:rsidR="00847768" w:rsidRDefault="00DD543B">
            <w:pPr>
              <w:pStyle w:val="TableParagraph"/>
              <w:spacing w:before="84" w:line="230" w:lineRule="exact"/>
              <w:ind w:right="997"/>
            </w:pPr>
            <w:r>
              <w:t>Appropriateness of the research design and strategies for conducting the activity/activities proposed</w:t>
            </w:r>
          </w:p>
        </w:tc>
      </w:tr>
      <w:tr w:rsidR="00847768">
        <w:trPr>
          <w:trHeight w:hRule="exact" w:val="643"/>
        </w:trPr>
        <w:tc>
          <w:tcPr>
            <w:tcW w:w="562" w:type="dxa"/>
            <w:vMerge w:val="restart"/>
            <w:tcBorders>
              <w:left w:val="single" w:sz="4" w:space="0" w:color="000000"/>
              <w:right w:val="single" w:sz="4" w:space="0" w:color="000000"/>
            </w:tcBorders>
            <w:shd w:val="clear" w:color="auto" w:fill="CCC0D9"/>
            <w:textDirection w:val="btLr"/>
          </w:tcPr>
          <w:p w:rsidR="00847768" w:rsidRDefault="00DD543B">
            <w:pPr>
              <w:pStyle w:val="TableParagraph"/>
              <w:spacing w:before="108"/>
              <w:ind w:left="989"/>
              <w:rPr>
                <w:b/>
                <w:sz w:val="24"/>
              </w:rPr>
            </w:pPr>
            <w:r>
              <w:rPr>
                <w:b/>
                <w:spacing w:val="-1"/>
                <w:sz w:val="24"/>
              </w:rPr>
              <w:t>Ca</w:t>
            </w:r>
            <w:r>
              <w:rPr>
                <w:b/>
                <w:sz w:val="24"/>
              </w:rPr>
              <w:t>p</w:t>
            </w:r>
            <w:r>
              <w:rPr>
                <w:b/>
                <w:spacing w:val="-4"/>
                <w:sz w:val="24"/>
              </w:rPr>
              <w:t>a</w:t>
            </w:r>
            <w:r>
              <w:rPr>
                <w:b/>
                <w:spacing w:val="1"/>
                <w:sz w:val="24"/>
              </w:rPr>
              <w:t>bil</w:t>
            </w:r>
            <w:r>
              <w:rPr>
                <w:b/>
                <w:spacing w:val="-4"/>
                <w:sz w:val="24"/>
              </w:rPr>
              <w:t>i</w:t>
            </w:r>
            <w:r>
              <w:rPr>
                <w:b/>
                <w:sz w:val="24"/>
              </w:rPr>
              <w:t xml:space="preserve">ty </w:t>
            </w:r>
            <w:r>
              <w:rPr>
                <w:b/>
                <w:spacing w:val="-5"/>
                <w:sz w:val="24"/>
              </w:rPr>
              <w:t>2</w:t>
            </w:r>
            <w:r>
              <w:rPr>
                <w:b/>
                <w:sz w:val="24"/>
              </w:rPr>
              <w:t>0%</w:t>
            </w:r>
          </w:p>
        </w:tc>
        <w:tc>
          <w:tcPr>
            <w:tcW w:w="9268" w:type="dxa"/>
            <w:tcBorders>
              <w:left w:val="single" w:sz="4" w:space="0" w:color="000000"/>
              <w:bottom w:val="single" w:sz="4" w:space="0" w:color="000000"/>
              <w:right w:val="single" w:sz="4" w:space="0" w:color="000000"/>
            </w:tcBorders>
            <w:shd w:val="clear" w:color="auto" w:fill="CCC0D9"/>
          </w:tcPr>
          <w:p w:rsidR="00847768" w:rsidRDefault="00DD543B">
            <w:pPr>
              <w:pStyle w:val="TableParagraph"/>
              <w:spacing w:before="150"/>
              <w:rPr>
                <w:b/>
                <w:sz w:val="24"/>
              </w:rPr>
            </w:pPr>
            <w:r>
              <w:rPr>
                <w:b/>
                <w:sz w:val="24"/>
              </w:rPr>
              <w:t>The expertise to succeed</w:t>
            </w:r>
          </w:p>
        </w:tc>
      </w:tr>
      <w:tr w:rsidR="00847768">
        <w:trPr>
          <w:trHeight w:hRule="exact" w:val="684"/>
        </w:trPr>
        <w:tc>
          <w:tcPr>
            <w:tcW w:w="562" w:type="dxa"/>
            <w:vMerge/>
            <w:tcBorders>
              <w:left w:val="single" w:sz="4" w:space="0" w:color="000000"/>
              <w:right w:val="single" w:sz="4" w:space="0" w:color="000000"/>
            </w:tcBorders>
            <w:shd w:val="clear" w:color="auto" w:fill="CCC0D9"/>
            <w:textDirection w:val="btLr"/>
          </w:tcPr>
          <w:p w:rsidR="00847768" w:rsidRDefault="00847768"/>
        </w:tc>
        <w:tc>
          <w:tcPr>
            <w:tcW w:w="9268" w:type="dxa"/>
            <w:tcBorders>
              <w:top w:val="single" w:sz="4" w:space="0" w:color="000000"/>
              <w:left w:val="single" w:sz="4" w:space="0" w:color="000000"/>
              <w:bottom w:val="single" w:sz="4" w:space="0" w:color="000000"/>
              <w:right w:val="single" w:sz="4" w:space="0" w:color="000000"/>
            </w:tcBorders>
          </w:tcPr>
          <w:p w:rsidR="00847768" w:rsidRDefault="00DD543B">
            <w:pPr>
              <w:pStyle w:val="TableParagraph"/>
              <w:spacing w:before="64"/>
            </w:pPr>
            <w:r>
              <w:t>Quality, quantity and significance of previous research experience and published and/or creative outputs of the applicant(s) relative to their roles in the project and their respective stages of career</w:t>
            </w:r>
          </w:p>
        </w:tc>
      </w:tr>
      <w:tr w:rsidR="00847768">
        <w:trPr>
          <w:trHeight w:hRule="exact" w:val="1133"/>
        </w:trPr>
        <w:tc>
          <w:tcPr>
            <w:tcW w:w="562" w:type="dxa"/>
            <w:vMerge/>
            <w:tcBorders>
              <w:left w:val="single" w:sz="4" w:space="0" w:color="000000"/>
              <w:right w:val="single" w:sz="4" w:space="0" w:color="000000"/>
            </w:tcBorders>
            <w:shd w:val="clear" w:color="auto" w:fill="CCC0D9"/>
            <w:textDirection w:val="btLr"/>
          </w:tcPr>
          <w:p w:rsidR="00847768" w:rsidRDefault="00847768"/>
        </w:tc>
        <w:tc>
          <w:tcPr>
            <w:tcW w:w="9268" w:type="dxa"/>
            <w:tcBorders>
              <w:top w:val="single" w:sz="4" w:space="0" w:color="000000"/>
              <w:left w:val="single" w:sz="4" w:space="0" w:color="000000"/>
              <w:bottom w:val="single" w:sz="4" w:space="0" w:color="000000"/>
              <w:right w:val="single" w:sz="4" w:space="0" w:color="000000"/>
            </w:tcBorders>
          </w:tcPr>
          <w:p w:rsidR="00847768" w:rsidRDefault="00DD543B">
            <w:pPr>
              <w:pStyle w:val="TableParagraph"/>
              <w:spacing w:before="21"/>
              <w:ind w:right="344"/>
            </w:pPr>
            <w:r>
              <w:t>Evidence of other knowledge mobilization activities (e.g., films, performances, commissioned reports, knowledge syntheses, experience in collaboration/other interactions with stakeholders, contributions to public debate and media), and of impacts on professional practice, social services and policies, etc.</w:t>
            </w:r>
          </w:p>
        </w:tc>
      </w:tr>
      <w:tr w:rsidR="00847768">
        <w:trPr>
          <w:trHeight w:hRule="exact" w:val="560"/>
        </w:trPr>
        <w:tc>
          <w:tcPr>
            <w:tcW w:w="562" w:type="dxa"/>
            <w:vMerge/>
            <w:tcBorders>
              <w:left w:val="single" w:sz="4" w:space="0" w:color="000000"/>
              <w:right w:val="single" w:sz="4" w:space="0" w:color="000000"/>
            </w:tcBorders>
            <w:shd w:val="clear" w:color="auto" w:fill="CCC0D9"/>
            <w:textDirection w:val="btLr"/>
          </w:tcPr>
          <w:p w:rsidR="00847768" w:rsidRDefault="00847768"/>
        </w:tc>
        <w:tc>
          <w:tcPr>
            <w:tcW w:w="9268" w:type="dxa"/>
            <w:tcBorders>
              <w:top w:val="single" w:sz="4" w:space="0" w:color="000000"/>
              <w:left w:val="single" w:sz="4" w:space="0" w:color="000000"/>
              <w:bottom w:val="single" w:sz="4" w:space="0" w:color="000000"/>
              <w:right w:val="single" w:sz="4" w:space="0" w:color="000000"/>
            </w:tcBorders>
          </w:tcPr>
          <w:p w:rsidR="00847768" w:rsidRDefault="00DD543B">
            <w:pPr>
              <w:pStyle w:val="TableParagraph"/>
              <w:spacing w:before="45" w:line="228" w:lineRule="exact"/>
              <w:ind w:right="302"/>
            </w:pPr>
            <w:r>
              <w:t>Evidence of contributions to the development of students and emerging scholars; Support for new faculty members and emerging scholars</w:t>
            </w:r>
          </w:p>
        </w:tc>
      </w:tr>
      <w:tr w:rsidR="00847768">
        <w:trPr>
          <w:trHeight w:hRule="exact" w:val="437"/>
        </w:trPr>
        <w:tc>
          <w:tcPr>
            <w:tcW w:w="562" w:type="dxa"/>
            <w:vMerge/>
            <w:tcBorders>
              <w:left w:val="single" w:sz="4" w:space="0" w:color="000000"/>
              <w:bottom w:val="single" w:sz="4" w:space="0" w:color="000000"/>
              <w:right w:val="single" w:sz="4" w:space="0" w:color="000000"/>
            </w:tcBorders>
            <w:shd w:val="clear" w:color="auto" w:fill="CCC0D9"/>
            <w:textDirection w:val="btLr"/>
          </w:tcPr>
          <w:p w:rsidR="00847768" w:rsidRDefault="00847768"/>
        </w:tc>
        <w:tc>
          <w:tcPr>
            <w:tcW w:w="9268" w:type="dxa"/>
            <w:tcBorders>
              <w:top w:val="single" w:sz="4" w:space="0" w:color="000000"/>
              <w:left w:val="single" w:sz="4" w:space="0" w:color="000000"/>
              <w:bottom w:val="single" w:sz="4" w:space="0" w:color="000000"/>
              <w:right w:val="single" w:sz="4" w:space="0" w:color="000000"/>
            </w:tcBorders>
          </w:tcPr>
          <w:p w:rsidR="00847768" w:rsidRDefault="00DD543B">
            <w:pPr>
              <w:pStyle w:val="TableParagraph"/>
              <w:spacing w:before="71"/>
            </w:pPr>
            <w:r>
              <w:t>Potential of the applicant/co-applicant to make future contribut</w:t>
            </w:r>
            <w:r w:rsidR="00690A54">
              <w:t>ions and secure external grants</w:t>
            </w:r>
          </w:p>
        </w:tc>
      </w:tr>
    </w:tbl>
    <w:p w:rsidR="00AF49E3" w:rsidRDefault="00AF49E3"/>
    <w:p w:rsidR="00AF49E3" w:rsidRDefault="00AF49E3" w:rsidP="00AF49E3">
      <w:r>
        <w:br w:type="page"/>
      </w:r>
    </w:p>
    <w:p w:rsidR="0076431B" w:rsidRDefault="0076431B" w:rsidP="0076431B">
      <w:pPr>
        <w:pStyle w:val="Heading1"/>
        <w:spacing w:before="240" w:after="120"/>
        <w:ind w:left="181"/>
      </w:pPr>
    </w:p>
    <w:p w:rsidR="0076431B" w:rsidRDefault="0076431B" w:rsidP="0076431B">
      <w:pPr>
        <w:pStyle w:val="Heading1"/>
        <w:spacing w:before="240" w:after="120"/>
        <w:ind w:left="181"/>
      </w:pPr>
      <w:r>
        <w:t>Evaluation Criteria and Scoring – Exchange Grants</w:t>
      </w:r>
    </w:p>
    <w:p w:rsidR="00AF49E3" w:rsidRPr="00D47A9C" w:rsidRDefault="00AF49E3" w:rsidP="00AF49E3">
      <w:pPr>
        <w:pStyle w:val="BodyText"/>
        <w:spacing w:before="9"/>
        <w:ind w:left="180"/>
        <w:rPr>
          <w:color w:val="000000" w:themeColor="text1"/>
          <w:sz w:val="22"/>
          <w:szCs w:val="22"/>
        </w:rPr>
      </w:pPr>
      <w:r w:rsidRPr="00D47A9C">
        <w:rPr>
          <w:color w:val="000000" w:themeColor="text1"/>
          <w:sz w:val="22"/>
          <w:szCs w:val="22"/>
        </w:rPr>
        <w:t xml:space="preserve">The following criteria and scoring scheme are used to evaluate </w:t>
      </w:r>
      <w:r w:rsidRPr="00D47A9C">
        <w:rPr>
          <w:color w:val="000000" w:themeColor="text1"/>
          <w:sz w:val="22"/>
          <w:szCs w:val="22"/>
        </w:rPr>
        <w:t>Exchange</w:t>
      </w:r>
      <w:r w:rsidRPr="00D47A9C">
        <w:rPr>
          <w:color w:val="000000" w:themeColor="text1"/>
          <w:sz w:val="22"/>
          <w:szCs w:val="22"/>
        </w:rPr>
        <w:t xml:space="preserve"> Grants</w:t>
      </w:r>
    </w:p>
    <w:p w:rsidR="00AF49E3" w:rsidRPr="00D47A9C" w:rsidRDefault="00AF49E3"/>
    <w:tbl>
      <w:tblPr>
        <w:tblW w:w="0" w:type="auto"/>
        <w:tblInd w:w="300"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left w:w="0" w:type="dxa"/>
          <w:right w:w="0" w:type="dxa"/>
        </w:tblCellMar>
        <w:tblLook w:val="01E0" w:firstRow="1" w:lastRow="1" w:firstColumn="1" w:lastColumn="1" w:noHBand="0" w:noVBand="0"/>
      </w:tblPr>
      <w:tblGrid>
        <w:gridCol w:w="848"/>
        <w:gridCol w:w="8982"/>
      </w:tblGrid>
      <w:tr w:rsidR="00AF49E3" w:rsidRPr="00AF49E3" w:rsidTr="00B77B13">
        <w:trPr>
          <w:trHeight w:hRule="exact" w:val="522"/>
        </w:trPr>
        <w:tc>
          <w:tcPr>
            <w:tcW w:w="848" w:type="dxa"/>
            <w:vMerge w:val="restart"/>
            <w:tcBorders>
              <w:left w:val="single" w:sz="4" w:space="0" w:color="000000"/>
              <w:right w:val="single" w:sz="4" w:space="0" w:color="000000"/>
            </w:tcBorders>
            <w:shd w:val="clear" w:color="auto" w:fill="DBE4F0"/>
            <w:textDirection w:val="btLr"/>
          </w:tcPr>
          <w:p w:rsidR="00AF49E3" w:rsidRPr="00AF49E3" w:rsidRDefault="00AF49E3" w:rsidP="00AF49E3">
            <w:pPr>
              <w:rPr>
                <w:b/>
              </w:rPr>
            </w:pPr>
            <w:r w:rsidRPr="00AF49E3">
              <w:rPr>
                <w:b/>
              </w:rPr>
              <w:t>Challenge 60%</w:t>
            </w:r>
          </w:p>
        </w:tc>
        <w:tc>
          <w:tcPr>
            <w:tcW w:w="8982" w:type="dxa"/>
            <w:tcBorders>
              <w:left w:val="single" w:sz="4" w:space="0" w:color="000000"/>
              <w:bottom w:val="single" w:sz="4" w:space="0" w:color="000000"/>
              <w:right w:val="single" w:sz="4" w:space="0" w:color="000000"/>
            </w:tcBorders>
            <w:shd w:val="clear" w:color="auto" w:fill="DBE4F0"/>
          </w:tcPr>
          <w:p w:rsidR="00AF49E3" w:rsidRPr="00AF49E3" w:rsidRDefault="00AF49E3" w:rsidP="00AF49E3">
            <w:pPr>
              <w:rPr>
                <w:b/>
              </w:rPr>
            </w:pPr>
            <w:r w:rsidRPr="00AF49E3">
              <w:rPr>
                <w:b/>
              </w:rPr>
              <w:t>The aim and importance of the endeavor</w:t>
            </w:r>
          </w:p>
        </w:tc>
      </w:tr>
      <w:tr w:rsidR="00AF49E3" w:rsidRPr="00AF49E3" w:rsidTr="00B77B13">
        <w:trPr>
          <w:trHeight w:hRule="exact" w:val="451"/>
        </w:trPr>
        <w:tc>
          <w:tcPr>
            <w:tcW w:w="848" w:type="dxa"/>
            <w:vMerge/>
            <w:tcBorders>
              <w:left w:val="single" w:sz="4" w:space="0" w:color="000000"/>
              <w:right w:val="single" w:sz="4" w:space="0" w:color="000000"/>
            </w:tcBorders>
            <w:shd w:val="clear" w:color="auto" w:fill="DBE4F0"/>
            <w:textDirection w:val="btLr"/>
          </w:tcPr>
          <w:p w:rsidR="00AF49E3" w:rsidRPr="00AF49E3" w:rsidRDefault="00AF49E3" w:rsidP="00AF49E3"/>
        </w:tc>
        <w:tc>
          <w:tcPr>
            <w:tcW w:w="8982" w:type="dxa"/>
            <w:tcBorders>
              <w:top w:val="single" w:sz="4" w:space="0" w:color="000000"/>
              <w:left w:val="single" w:sz="4" w:space="0" w:color="000000"/>
              <w:bottom w:val="single" w:sz="4" w:space="0" w:color="000000"/>
              <w:right w:val="single" w:sz="4" w:space="0" w:color="000000"/>
            </w:tcBorders>
          </w:tcPr>
          <w:p w:rsidR="00AF49E3" w:rsidRPr="00AF49E3" w:rsidRDefault="00AF49E3" w:rsidP="00AF49E3">
            <w:r w:rsidRPr="00AF49E3">
              <w:t>Clarity of the stated objectives and defined scope of the knowledge mobilization activity</w:t>
            </w:r>
          </w:p>
        </w:tc>
      </w:tr>
      <w:tr w:rsidR="00AF49E3" w:rsidRPr="00AF49E3" w:rsidTr="00B77B13">
        <w:trPr>
          <w:trHeight w:hRule="exact" w:val="653"/>
        </w:trPr>
        <w:tc>
          <w:tcPr>
            <w:tcW w:w="848" w:type="dxa"/>
            <w:vMerge/>
            <w:tcBorders>
              <w:left w:val="single" w:sz="4" w:space="0" w:color="000000"/>
              <w:right w:val="single" w:sz="4" w:space="0" w:color="000000"/>
            </w:tcBorders>
            <w:shd w:val="clear" w:color="auto" w:fill="DBE4F0"/>
            <w:textDirection w:val="btLr"/>
          </w:tcPr>
          <w:p w:rsidR="00AF49E3" w:rsidRPr="00AF49E3" w:rsidRDefault="00AF49E3" w:rsidP="00AF49E3"/>
        </w:tc>
        <w:tc>
          <w:tcPr>
            <w:tcW w:w="8982" w:type="dxa"/>
            <w:tcBorders>
              <w:top w:val="single" w:sz="4" w:space="0" w:color="000000"/>
              <w:left w:val="single" w:sz="4" w:space="0" w:color="000000"/>
              <w:bottom w:val="single" w:sz="4" w:space="0" w:color="000000"/>
              <w:right w:val="single" w:sz="4" w:space="0" w:color="000000"/>
            </w:tcBorders>
          </w:tcPr>
          <w:p w:rsidR="00AF49E3" w:rsidRPr="00AF49E3" w:rsidRDefault="00AF49E3" w:rsidP="00AF49E3">
            <w:r w:rsidRPr="00AF49E3">
              <w:t>Evidence of the quality and significance of the research results to be disseminated, including a clear delineation of a well-defined body of knowledge to be disseminated</w:t>
            </w:r>
          </w:p>
        </w:tc>
      </w:tr>
      <w:tr w:rsidR="00AF49E3" w:rsidRPr="00AF49E3" w:rsidTr="00B77B13">
        <w:trPr>
          <w:trHeight w:hRule="exact" w:val="773"/>
        </w:trPr>
        <w:tc>
          <w:tcPr>
            <w:tcW w:w="848" w:type="dxa"/>
            <w:vMerge/>
            <w:tcBorders>
              <w:left w:val="single" w:sz="4" w:space="0" w:color="000000"/>
              <w:right w:val="single" w:sz="4" w:space="0" w:color="000000"/>
            </w:tcBorders>
            <w:shd w:val="clear" w:color="auto" w:fill="DBE4F0"/>
            <w:textDirection w:val="btLr"/>
          </w:tcPr>
          <w:p w:rsidR="00AF49E3" w:rsidRPr="00AF49E3" w:rsidRDefault="00AF49E3" w:rsidP="00AF49E3"/>
        </w:tc>
        <w:tc>
          <w:tcPr>
            <w:tcW w:w="8982" w:type="dxa"/>
            <w:tcBorders>
              <w:top w:val="single" w:sz="4" w:space="0" w:color="000000"/>
              <w:left w:val="single" w:sz="4" w:space="0" w:color="000000"/>
              <w:bottom w:val="single" w:sz="4" w:space="0" w:color="000000"/>
              <w:right w:val="single" w:sz="4" w:space="0" w:color="000000"/>
            </w:tcBorders>
          </w:tcPr>
          <w:p w:rsidR="00AF49E3" w:rsidRPr="00AF49E3" w:rsidRDefault="00AF49E3" w:rsidP="00AF49E3">
            <w:r w:rsidRPr="00AF49E3">
              <w:t>Quality, innovativeness, and appropriateness of the knowledge mobilization activity, including effective dissemination, exchange, as well as engagement with stakeholders, where applicable</w:t>
            </w:r>
          </w:p>
        </w:tc>
      </w:tr>
      <w:tr w:rsidR="00AF49E3" w:rsidRPr="00AF49E3" w:rsidTr="00B77B13">
        <w:trPr>
          <w:trHeight w:hRule="exact" w:val="689"/>
        </w:trPr>
        <w:tc>
          <w:tcPr>
            <w:tcW w:w="848" w:type="dxa"/>
            <w:vMerge/>
            <w:tcBorders>
              <w:left w:val="single" w:sz="4" w:space="0" w:color="000000"/>
              <w:right w:val="single" w:sz="4" w:space="0" w:color="000000"/>
            </w:tcBorders>
            <w:shd w:val="clear" w:color="auto" w:fill="DBE4F0"/>
            <w:textDirection w:val="btLr"/>
          </w:tcPr>
          <w:p w:rsidR="00AF49E3" w:rsidRPr="00AF49E3" w:rsidRDefault="00AF49E3" w:rsidP="00AF49E3"/>
        </w:tc>
        <w:tc>
          <w:tcPr>
            <w:tcW w:w="8982" w:type="dxa"/>
            <w:tcBorders>
              <w:top w:val="single" w:sz="4" w:space="0" w:color="000000"/>
              <w:left w:val="single" w:sz="4" w:space="0" w:color="000000"/>
              <w:bottom w:val="single" w:sz="4" w:space="0" w:color="000000"/>
              <w:right w:val="single" w:sz="4" w:space="0" w:color="000000"/>
            </w:tcBorders>
          </w:tcPr>
          <w:p w:rsidR="00AF49E3" w:rsidRPr="00AF49E3" w:rsidRDefault="00AF49E3" w:rsidP="00AF49E3">
            <w:r w:rsidRPr="00AF49E3">
              <w:t>Evidence of the quality and significance of the event, its scope and potential contribution, including the degree event attracts appropriate participants</w:t>
            </w:r>
          </w:p>
        </w:tc>
      </w:tr>
      <w:tr w:rsidR="00AF49E3" w:rsidRPr="00AF49E3" w:rsidTr="00B77B13">
        <w:trPr>
          <w:trHeight w:hRule="exact" w:val="548"/>
        </w:trPr>
        <w:tc>
          <w:tcPr>
            <w:tcW w:w="848" w:type="dxa"/>
            <w:vMerge/>
            <w:tcBorders>
              <w:left w:val="single" w:sz="4" w:space="0" w:color="000000"/>
              <w:bottom w:val="single" w:sz="4" w:space="0" w:color="000000"/>
              <w:right w:val="single" w:sz="4" w:space="0" w:color="000000"/>
            </w:tcBorders>
            <w:shd w:val="clear" w:color="auto" w:fill="DBE4F0"/>
            <w:textDirection w:val="btLr"/>
          </w:tcPr>
          <w:p w:rsidR="00AF49E3" w:rsidRPr="00AF49E3" w:rsidRDefault="00AF49E3" w:rsidP="00AF49E3"/>
        </w:tc>
        <w:tc>
          <w:tcPr>
            <w:tcW w:w="8982" w:type="dxa"/>
            <w:tcBorders>
              <w:top w:val="single" w:sz="4" w:space="0" w:color="000000"/>
              <w:left w:val="single" w:sz="4" w:space="0" w:color="000000"/>
              <w:bottom w:val="single" w:sz="4" w:space="0" w:color="000000"/>
              <w:right w:val="single" w:sz="4" w:space="0" w:color="000000"/>
            </w:tcBorders>
          </w:tcPr>
          <w:p w:rsidR="00AF49E3" w:rsidRPr="00AF49E3" w:rsidRDefault="00AF49E3" w:rsidP="00AF49E3">
            <w:r w:rsidRPr="00AF49E3">
              <w:t>Likelihood of influence and impact within and/or beyond the immediate research community</w:t>
            </w:r>
          </w:p>
        </w:tc>
      </w:tr>
      <w:tr w:rsidR="00AF49E3" w:rsidRPr="00AF49E3" w:rsidTr="00B77B13">
        <w:trPr>
          <w:trHeight w:hRule="exact" w:val="572"/>
        </w:trPr>
        <w:tc>
          <w:tcPr>
            <w:tcW w:w="848" w:type="dxa"/>
            <w:vMerge w:val="restart"/>
            <w:tcBorders>
              <w:left w:val="single" w:sz="4" w:space="0" w:color="000000"/>
              <w:right w:val="single" w:sz="4" w:space="0" w:color="000000"/>
            </w:tcBorders>
            <w:shd w:val="clear" w:color="auto" w:fill="FCE9D9"/>
            <w:textDirection w:val="btLr"/>
          </w:tcPr>
          <w:p w:rsidR="00AF49E3" w:rsidRPr="00AF49E3" w:rsidRDefault="00AF49E3" w:rsidP="00AF49E3">
            <w:pPr>
              <w:rPr>
                <w:b/>
              </w:rPr>
            </w:pPr>
            <w:r w:rsidRPr="00AF49E3">
              <w:rPr>
                <w:b/>
              </w:rPr>
              <w:t>Feasibility 20%</w:t>
            </w:r>
          </w:p>
        </w:tc>
        <w:tc>
          <w:tcPr>
            <w:tcW w:w="8982" w:type="dxa"/>
            <w:tcBorders>
              <w:left w:val="single" w:sz="4" w:space="0" w:color="000000"/>
              <w:bottom w:val="single" w:sz="4" w:space="0" w:color="000000"/>
              <w:right w:val="single" w:sz="4" w:space="0" w:color="000000"/>
            </w:tcBorders>
            <w:shd w:val="clear" w:color="auto" w:fill="FCE9D9"/>
          </w:tcPr>
          <w:p w:rsidR="00AF49E3" w:rsidRPr="00AF49E3" w:rsidRDefault="00AF49E3" w:rsidP="00AF49E3">
            <w:pPr>
              <w:rPr>
                <w:b/>
              </w:rPr>
            </w:pPr>
            <w:r w:rsidRPr="00AF49E3">
              <w:rPr>
                <w:b/>
              </w:rPr>
              <w:t>The plan to achieve</w:t>
            </w:r>
          </w:p>
        </w:tc>
      </w:tr>
      <w:tr w:rsidR="00AF49E3" w:rsidRPr="00AF49E3" w:rsidTr="00B77B13">
        <w:trPr>
          <w:trHeight w:hRule="exact" w:val="552"/>
        </w:trPr>
        <w:tc>
          <w:tcPr>
            <w:tcW w:w="848" w:type="dxa"/>
            <w:vMerge/>
            <w:tcBorders>
              <w:left w:val="single" w:sz="4" w:space="0" w:color="000000"/>
              <w:right w:val="single" w:sz="4" w:space="0" w:color="000000"/>
            </w:tcBorders>
            <w:shd w:val="clear" w:color="auto" w:fill="FCE9D9"/>
            <w:textDirection w:val="btLr"/>
          </w:tcPr>
          <w:p w:rsidR="00AF49E3" w:rsidRPr="00AF49E3" w:rsidRDefault="00AF49E3" w:rsidP="00AF49E3"/>
        </w:tc>
        <w:tc>
          <w:tcPr>
            <w:tcW w:w="8982" w:type="dxa"/>
            <w:tcBorders>
              <w:top w:val="single" w:sz="4" w:space="0" w:color="000000"/>
              <w:left w:val="single" w:sz="4" w:space="0" w:color="000000"/>
              <w:bottom w:val="single" w:sz="4" w:space="0" w:color="000000"/>
              <w:right w:val="single" w:sz="4" w:space="0" w:color="000000"/>
            </w:tcBorders>
          </w:tcPr>
          <w:p w:rsidR="00AF49E3" w:rsidRPr="00AF49E3" w:rsidRDefault="00AF49E3" w:rsidP="00AF49E3">
            <w:r w:rsidRPr="00AF49E3">
              <w:t>Probability that the objectives of the activity will be met within the timeline proposed</w:t>
            </w:r>
          </w:p>
        </w:tc>
      </w:tr>
      <w:tr w:rsidR="00AF49E3" w:rsidRPr="00AF49E3" w:rsidTr="00B77B13">
        <w:trPr>
          <w:trHeight w:hRule="exact" w:val="586"/>
        </w:trPr>
        <w:tc>
          <w:tcPr>
            <w:tcW w:w="848" w:type="dxa"/>
            <w:vMerge/>
            <w:tcBorders>
              <w:left w:val="single" w:sz="4" w:space="0" w:color="000000"/>
              <w:bottom w:val="single" w:sz="4" w:space="0" w:color="000000"/>
              <w:right w:val="single" w:sz="4" w:space="0" w:color="000000"/>
            </w:tcBorders>
            <w:shd w:val="clear" w:color="auto" w:fill="FCE9D9"/>
            <w:textDirection w:val="btLr"/>
          </w:tcPr>
          <w:p w:rsidR="00AF49E3" w:rsidRPr="00AF49E3" w:rsidRDefault="00AF49E3" w:rsidP="00AF49E3"/>
        </w:tc>
        <w:tc>
          <w:tcPr>
            <w:tcW w:w="8982" w:type="dxa"/>
            <w:tcBorders>
              <w:top w:val="single" w:sz="4" w:space="0" w:color="000000"/>
              <w:left w:val="single" w:sz="4" w:space="0" w:color="000000"/>
              <w:bottom w:val="single" w:sz="4" w:space="0" w:color="000000"/>
              <w:right w:val="single" w:sz="4" w:space="0" w:color="000000"/>
            </w:tcBorders>
          </w:tcPr>
          <w:p w:rsidR="00AF49E3" w:rsidRPr="00AF49E3" w:rsidRDefault="00AF49E3" w:rsidP="00AF49E3">
            <w:r w:rsidRPr="00AF49E3">
              <w:t>Appropriateness of the requested budget and justification of proposed costs</w:t>
            </w:r>
          </w:p>
        </w:tc>
      </w:tr>
      <w:tr w:rsidR="00AF49E3" w:rsidRPr="00AF49E3" w:rsidTr="00B77B13">
        <w:trPr>
          <w:trHeight w:hRule="exact" w:val="643"/>
        </w:trPr>
        <w:tc>
          <w:tcPr>
            <w:tcW w:w="848" w:type="dxa"/>
            <w:vMerge w:val="restart"/>
            <w:tcBorders>
              <w:left w:val="single" w:sz="4" w:space="0" w:color="000000"/>
              <w:right w:val="single" w:sz="4" w:space="0" w:color="000000"/>
            </w:tcBorders>
            <w:shd w:val="clear" w:color="auto" w:fill="CCC0D9"/>
            <w:textDirection w:val="btLr"/>
          </w:tcPr>
          <w:p w:rsidR="00AF49E3" w:rsidRPr="00AF49E3" w:rsidRDefault="00AF49E3" w:rsidP="00AF49E3">
            <w:pPr>
              <w:rPr>
                <w:b/>
              </w:rPr>
            </w:pPr>
            <w:r w:rsidRPr="00AF49E3">
              <w:rPr>
                <w:b/>
              </w:rPr>
              <w:t>Capability 20%</w:t>
            </w:r>
          </w:p>
        </w:tc>
        <w:tc>
          <w:tcPr>
            <w:tcW w:w="8982" w:type="dxa"/>
            <w:tcBorders>
              <w:left w:val="single" w:sz="4" w:space="0" w:color="000000"/>
              <w:bottom w:val="single" w:sz="4" w:space="0" w:color="000000"/>
              <w:right w:val="single" w:sz="4" w:space="0" w:color="000000"/>
            </w:tcBorders>
            <w:shd w:val="clear" w:color="auto" w:fill="CCC0D9"/>
          </w:tcPr>
          <w:p w:rsidR="00AF49E3" w:rsidRPr="00AF49E3" w:rsidRDefault="00AF49E3" w:rsidP="00AF49E3">
            <w:pPr>
              <w:rPr>
                <w:b/>
              </w:rPr>
            </w:pPr>
            <w:r w:rsidRPr="00AF49E3">
              <w:rPr>
                <w:b/>
              </w:rPr>
              <w:t>The expertise to succeed</w:t>
            </w:r>
          </w:p>
        </w:tc>
      </w:tr>
      <w:tr w:rsidR="00AF49E3" w:rsidRPr="00AF49E3" w:rsidTr="00B77B13">
        <w:trPr>
          <w:trHeight w:hRule="exact" w:val="684"/>
        </w:trPr>
        <w:tc>
          <w:tcPr>
            <w:tcW w:w="848" w:type="dxa"/>
            <w:vMerge/>
            <w:tcBorders>
              <w:left w:val="single" w:sz="4" w:space="0" w:color="000000"/>
              <w:right w:val="single" w:sz="4" w:space="0" w:color="000000"/>
            </w:tcBorders>
            <w:shd w:val="clear" w:color="auto" w:fill="CCC0D9"/>
            <w:textDirection w:val="btLr"/>
          </w:tcPr>
          <w:p w:rsidR="00AF49E3" w:rsidRPr="00AF49E3" w:rsidRDefault="00AF49E3" w:rsidP="00AF49E3"/>
        </w:tc>
        <w:tc>
          <w:tcPr>
            <w:tcW w:w="8982" w:type="dxa"/>
            <w:tcBorders>
              <w:top w:val="single" w:sz="4" w:space="0" w:color="000000"/>
              <w:left w:val="single" w:sz="4" w:space="0" w:color="000000"/>
              <w:bottom w:val="single" w:sz="4" w:space="0" w:color="000000"/>
              <w:right w:val="single" w:sz="4" w:space="0" w:color="000000"/>
            </w:tcBorders>
          </w:tcPr>
          <w:p w:rsidR="00AF49E3" w:rsidRPr="00AF49E3" w:rsidRDefault="00AF49E3" w:rsidP="00AF49E3">
            <w:r w:rsidRPr="00AF49E3">
              <w:t>Quality, quantity and significance of previous research experience and published and/or creative outputs of the applicant(s) relative to their roles in the project and their respective stages of career</w:t>
            </w:r>
          </w:p>
        </w:tc>
      </w:tr>
      <w:tr w:rsidR="00AF49E3" w:rsidRPr="00AF49E3" w:rsidTr="00B77B13">
        <w:trPr>
          <w:trHeight w:hRule="exact" w:val="638"/>
        </w:trPr>
        <w:tc>
          <w:tcPr>
            <w:tcW w:w="848" w:type="dxa"/>
            <w:vMerge/>
            <w:tcBorders>
              <w:left w:val="single" w:sz="4" w:space="0" w:color="000000"/>
              <w:right w:val="single" w:sz="4" w:space="0" w:color="000000"/>
            </w:tcBorders>
            <w:shd w:val="clear" w:color="auto" w:fill="CCC0D9"/>
            <w:textDirection w:val="btLr"/>
          </w:tcPr>
          <w:p w:rsidR="00AF49E3" w:rsidRPr="00AF49E3" w:rsidRDefault="00AF49E3" w:rsidP="00AF49E3"/>
        </w:tc>
        <w:tc>
          <w:tcPr>
            <w:tcW w:w="8982" w:type="dxa"/>
            <w:tcBorders>
              <w:top w:val="single" w:sz="4" w:space="0" w:color="000000"/>
              <w:left w:val="single" w:sz="4" w:space="0" w:color="000000"/>
              <w:bottom w:val="single" w:sz="4" w:space="0" w:color="000000"/>
              <w:right w:val="single" w:sz="4" w:space="0" w:color="000000"/>
            </w:tcBorders>
          </w:tcPr>
          <w:p w:rsidR="00AF49E3" w:rsidRPr="00AF49E3" w:rsidRDefault="00AF49E3" w:rsidP="00AF49E3">
            <w:r w:rsidRPr="00AF49E3">
              <w:t>Evidence of previous knowledge mobilization activities and of impacts on professional practice, social services and policies, etc.</w:t>
            </w:r>
          </w:p>
        </w:tc>
      </w:tr>
      <w:tr w:rsidR="00AF49E3" w:rsidRPr="00AF49E3" w:rsidTr="00B77B13">
        <w:trPr>
          <w:trHeight w:hRule="exact" w:val="437"/>
        </w:trPr>
        <w:tc>
          <w:tcPr>
            <w:tcW w:w="848" w:type="dxa"/>
            <w:vMerge/>
            <w:tcBorders>
              <w:left w:val="single" w:sz="4" w:space="0" w:color="000000"/>
              <w:bottom w:val="single" w:sz="4" w:space="0" w:color="000000"/>
              <w:right w:val="single" w:sz="4" w:space="0" w:color="000000"/>
            </w:tcBorders>
            <w:shd w:val="clear" w:color="auto" w:fill="CCC0D9"/>
            <w:textDirection w:val="btLr"/>
          </w:tcPr>
          <w:p w:rsidR="00AF49E3" w:rsidRPr="00AF49E3" w:rsidRDefault="00AF49E3" w:rsidP="00AF49E3"/>
        </w:tc>
        <w:tc>
          <w:tcPr>
            <w:tcW w:w="8982" w:type="dxa"/>
            <w:tcBorders>
              <w:top w:val="single" w:sz="4" w:space="0" w:color="000000"/>
              <w:left w:val="single" w:sz="4" w:space="0" w:color="000000"/>
              <w:bottom w:val="single" w:sz="4" w:space="0" w:color="000000"/>
              <w:right w:val="single" w:sz="4" w:space="0" w:color="000000"/>
            </w:tcBorders>
          </w:tcPr>
          <w:p w:rsidR="00AF49E3" w:rsidRPr="00AF49E3" w:rsidRDefault="00AF49E3" w:rsidP="00AF49E3">
            <w:r w:rsidRPr="00AF49E3">
              <w:t>Potential of the applicant to make future contributions and secure external grants</w:t>
            </w:r>
          </w:p>
        </w:tc>
      </w:tr>
    </w:tbl>
    <w:p w:rsidR="00AF49E3" w:rsidRDefault="00AF49E3">
      <w:pPr>
        <w:sectPr w:rsidR="00AF49E3">
          <w:pgSz w:w="12240" w:h="15840"/>
          <w:pgMar w:top="1580" w:right="560" w:bottom="660" w:left="900" w:header="458" w:footer="462" w:gutter="0"/>
          <w:cols w:space="720"/>
        </w:sectPr>
      </w:pPr>
    </w:p>
    <w:p w:rsidR="00856C82" w:rsidRPr="00E141D7" w:rsidRDefault="00856C82" w:rsidP="00856C82">
      <w:pPr>
        <w:pStyle w:val="Heading1"/>
        <w:spacing w:before="160" w:after="60"/>
        <w:ind w:left="142"/>
        <w:rPr>
          <w:rStyle w:val="IntenseEmphasis"/>
          <w:rFonts w:asciiTheme="majorHAnsi" w:hAnsiTheme="majorHAnsi"/>
          <w:i w:val="0"/>
          <w:color w:val="000000" w:themeColor="text1"/>
          <w:sz w:val="28"/>
        </w:rPr>
      </w:pPr>
      <w:r w:rsidRPr="00E141D7">
        <w:rPr>
          <w:rStyle w:val="IntenseEmphasis"/>
          <w:rFonts w:asciiTheme="majorHAnsi" w:hAnsiTheme="majorHAnsi"/>
          <w:i w:val="0"/>
          <w:color w:val="000000" w:themeColor="text1"/>
          <w:sz w:val="28"/>
        </w:rPr>
        <w:lastRenderedPageBreak/>
        <w:t>Application Procedure</w:t>
      </w:r>
    </w:p>
    <w:p w:rsidR="00856C82" w:rsidRPr="00E141D7" w:rsidRDefault="00856C82" w:rsidP="00856C82">
      <w:pPr>
        <w:pStyle w:val="ListParagraph"/>
        <w:numPr>
          <w:ilvl w:val="0"/>
          <w:numId w:val="1"/>
        </w:numPr>
        <w:tabs>
          <w:tab w:val="left" w:pos="541"/>
        </w:tabs>
        <w:spacing w:before="54"/>
        <w:ind w:hanging="360"/>
        <w:rPr>
          <w:sz w:val="24"/>
          <w:szCs w:val="24"/>
        </w:rPr>
      </w:pPr>
      <w:r w:rsidRPr="00E141D7">
        <w:rPr>
          <w:sz w:val="24"/>
          <w:szCs w:val="24"/>
        </w:rPr>
        <w:t>Ensure you are using the correct grant application form for the proposed activity.</w:t>
      </w:r>
    </w:p>
    <w:p w:rsidR="00856C82" w:rsidRPr="00E141D7" w:rsidRDefault="00856C82" w:rsidP="00856C82">
      <w:pPr>
        <w:pStyle w:val="ListParagraph"/>
        <w:numPr>
          <w:ilvl w:val="0"/>
          <w:numId w:val="1"/>
        </w:numPr>
        <w:tabs>
          <w:tab w:val="left" w:pos="541"/>
        </w:tabs>
        <w:ind w:hanging="360"/>
        <w:rPr>
          <w:sz w:val="24"/>
          <w:szCs w:val="24"/>
        </w:rPr>
      </w:pPr>
      <w:r w:rsidRPr="00E141D7">
        <w:rPr>
          <w:sz w:val="24"/>
          <w:szCs w:val="24"/>
        </w:rPr>
        <w:t>Complete all sections of the</w:t>
      </w:r>
      <w:r w:rsidRPr="00E141D7">
        <w:rPr>
          <w:spacing w:val="-18"/>
          <w:sz w:val="24"/>
          <w:szCs w:val="24"/>
        </w:rPr>
        <w:t xml:space="preserve"> </w:t>
      </w:r>
      <w:r w:rsidRPr="00E141D7">
        <w:rPr>
          <w:sz w:val="24"/>
          <w:szCs w:val="24"/>
        </w:rPr>
        <w:t>application. Use the checklist.</w:t>
      </w:r>
    </w:p>
    <w:p w:rsidR="00856C82" w:rsidRPr="00E141D7" w:rsidRDefault="00856C82" w:rsidP="00856C82">
      <w:pPr>
        <w:pStyle w:val="ListParagraph"/>
        <w:numPr>
          <w:ilvl w:val="0"/>
          <w:numId w:val="1"/>
        </w:numPr>
        <w:tabs>
          <w:tab w:val="left" w:pos="541"/>
        </w:tabs>
        <w:ind w:hanging="360"/>
        <w:rPr>
          <w:sz w:val="24"/>
          <w:szCs w:val="24"/>
        </w:rPr>
      </w:pPr>
      <w:r w:rsidRPr="00E141D7">
        <w:rPr>
          <w:sz w:val="24"/>
          <w:szCs w:val="24"/>
        </w:rPr>
        <w:t>Sign application and obtain department head</w:t>
      </w:r>
      <w:r w:rsidRPr="00E141D7">
        <w:rPr>
          <w:spacing w:val="-23"/>
          <w:sz w:val="24"/>
          <w:szCs w:val="24"/>
        </w:rPr>
        <w:t xml:space="preserve"> </w:t>
      </w:r>
      <w:r w:rsidRPr="00E141D7">
        <w:rPr>
          <w:sz w:val="24"/>
          <w:szCs w:val="24"/>
        </w:rPr>
        <w:t>signature.</w:t>
      </w:r>
    </w:p>
    <w:p w:rsidR="00856C82" w:rsidRPr="00E141D7" w:rsidRDefault="00856C82" w:rsidP="00856C82">
      <w:pPr>
        <w:pStyle w:val="ListParagraph"/>
        <w:numPr>
          <w:ilvl w:val="0"/>
          <w:numId w:val="1"/>
        </w:numPr>
        <w:tabs>
          <w:tab w:val="left" w:pos="541"/>
        </w:tabs>
        <w:spacing w:before="60"/>
        <w:ind w:hanging="360"/>
        <w:rPr>
          <w:sz w:val="24"/>
          <w:szCs w:val="24"/>
        </w:rPr>
      </w:pPr>
      <w:r w:rsidRPr="00E141D7">
        <w:rPr>
          <w:sz w:val="24"/>
          <w:szCs w:val="24"/>
        </w:rPr>
        <w:t>Attach all requested attachments or supplemental</w:t>
      </w:r>
      <w:r w:rsidRPr="00E141D7">
        <w:rPr>
          <w:spacing w:val="-31"/>
          <w:sz w:val="24"/>
          <w:szCs w:val="24"/>
        </w:rPr>
        <w:t xml:space="preserve"> </w:t>
      </w:r>
      <w:r w:rsidRPr="00E141D7">
        <w:rPr>
          <w:sz w:val="24"/>
          <w:szCs w:val="24"/>
        </w:rPr>
        <w:t>documents.</w:t>
      </w:r>
    </w:p>
    <w:p w:rsidR="00856C82" w:rsidRPr="00E141D7" w:rsidRDefault="00856C82" w:rsidP="00856C82">
      <w:pPr>
        <w:pStyle w:val="ListParagraph"/>
        <w:numPr>
          <w:ilvl w:val="0"/>
          <w:numId w:val="1"/>
        </w:numPr>
        <w:tabs>
          <w:tab w:val="left" w:pos="541"/>
        </w:tabs>
        <w:ind w:hanging="360"/>
        <w:rPr>
          <w:sz w:val="24"/>
          <w:szCs w:val="24"/>
        </w:rPr>
      </w:pPr>
      <w:r w:rsidRPr="00E141D7">
        <w:rPr>
          <w:sz w:val="24"/>
          <w:szCs w:val="24"/>
        </w:rPr>
        <w:t>Submit complete application package as one document (pdf</w:t>
      </w:r>
      <w:r w:rsidRPr="00E141D7">
        <w:rPr>
          <w:spacing w:val="-26"/>
          <w:sz w:val="24"/>
          <w:szCs w:val="24"/>
        </w:rPr>
        <w:t xml:space="preserve"> </w:t>
      </w:r>
      <w:r w:rsidRPr="00E141D7">
        <w:rPr>
          <w:sz w:val="24"/>
          <w:szCs w:val="24"/>
        </w:rPr>
        <w:t>format).</w:t>
      </w:r>
    </w:p>
    <w:p w:rsidR="00856C82" w:rsidRPr="00E141D7" w:rsidRDefault="00856C82" w:rsidP="00856C82">
      <w:pPr>
        <w:pStyle w:val="ListParagraph"/>
        <w:numPr>
          <w:ilvl w:val="0"/>
          <w:numId w:val="1"/>
        </w:numPr>
        <w:tabs>
          <w:tab w:val="left" w:pos="541"/>
        </w:tabs>
        <w:ind w:hanging="360"/>
        <w:rPr>
          <w:sz w:val="24"/>
          <w:szCs w:val="24"/>
        </w:rPr>
      </w:pPr>
      <w:r w:rsidRPr="00E141D7">
        <w:rPr>
          <w:sz w:val="24"/>
          <w:szCs w:val="24"/>
        </w:rPr>
        <w:t>Send application package to</w:t>
      </w:r>
      <w:r w:rsidRPr="00E141D7">
        <w:rPr>
          <w:spacing w:val="-23"/>
          <w:sz w:val="24"/>
          <w:szCs w:val="24"/>
        </w:rPr>
        <w:t xml:space="preserve"> </w:t>
      </w:r>
      <w:hyperlink r:id="rId11">
        <w:r w:rsidRPr="00E141D7">
          <w:rPr>
            <w:color w:val="0000FF"/>
            <w:sz w:val="24"/>
            <w:szCs w:val="24"/>
            <w:u w:val="single" w:color="0000FF"/>
          </w:rPr>
          <w:t>research@concordia.ab.ca</w:t>
        </w:r>
      </w:hyperlink>
    </w:p>
    <w:p w:rsidR="00856C82" w:rsidRPr="00E141D7" w:rsidRDefault="00856C82" w:rsidP="00856C82">
      <w:pPr>
        <w:pStyle w:val="ListParagraph"/>
        <w:numPr>
          <w:ilvl w:val="1"/>
          <w:numId w:val="1"/>
        </w:numPr>
        <w:tabs>
          <w:tab w:val="left" w:pos="900"/>
          <w:tab w:val="left" w:pos="901"/>
        </w:tabs>
        <w:spacing w:before="155" w:line="242" w:lineRule="auto"/>
        <w:ind w:right="607"/>
        <w:rPr>
          <w:sz w:val="24"/>
          <w:szCs w:val="24"/>
        </w:rPr>
      </w:pPr>
      <w:r w:rsidRPr="00E141D7">
        <w:rPr>
          <w:sz w:val="24"/>
          <w:szCs w:val="24"/>
        </w:rPr>
        <w:t>The application must be compiled as one complete document in pdf format.</w:t>
      </w:r>
      <w:r w:rsidRPr="00E141D7">
        <w:rPr>
          <w:spacing w:val="-38"/>
          <w:sz w:val="24"/>
          <w:szCs w:val="24"/>
        </w:rPr>
        <w:t xml:space="preserve"> </w:t>
      </w:r>
      <w:r w:rsidRPr="00E141D7">
        <w:rPr>
          <w:sz w:val="24"/>
          <w:szCs w:val="24"/>
        </w:rPr>
        <w:t>Paper submissions will not be</w:t>
      </w:r>
      <w:r w:rsidRPr="00E141D7">
        <w:rPr>
          <w:spacing w:val="-11"/>
          <w:sz w:val="24"/>
          <w:szCs w:val="24"/>
        </w:rPr>
        <w:t xml:space="preserve"> </w:t>
      </w:r>
      <w:r w:rsidRPr="00E141D7">
        <w:rPr>
          <w:sz w:val="24"/>
          <w:szCs w:val="24"/>
        </w:rPr>
        <w:t>considered.</w:t>
      </w:r>
    </w:p>
    <w:p w:rsidR="00856C82" w:rsidRPr="00E141D7" w:rsidRDefault="00856C82" w:rsidP="00856C82">
      <w:pPr>
        <w:pStyle w:val="ListParagraph"/>
        <w:numPr>
          <w:ilvl w:val="1"/>
          <w:numId w:val="1"/>
        </w:numPr>
        <w:tabs>
          <w:tab w:val="left" w:pos="900"/>
          <w:tab w:val="left" w:pos="901"/>
        </w:tabs>
        <w:spacing w:before="53"/>
        <w:rPr>
          <w:sz w:val="24"/>
          <w:szCs w:val="24"/>
        </w:rPr>
      </w:pPr>
      <w:r w:rsidRPr="00E141D7">
        <w:rPr>
          <w:sz w:val="24"/>
          <w:szCs w:val="24"/>
        </w:rPr>
        <w:t>Applications received past deadline or that are not complete will be not be</w:t>
      </w:r>
      <w:r w:rsidRPr="00E141D7">
        <w:rPr>
          <w:spacing w:val="-36"/>
          <w:sz w:val="24"/>
          <w:szCs w:val="24"/>
        </w:rPr>
        <w:t xml:space="preserve"> </w:t>
      </w:r>
      <w:r w:rsidRPr="00E141D7">
        <w:rPr>
          <w:sz w:val="24"/>
          <w:szCs w:val="24"/>
        </w:rPr>
        <w:t>considered.</w:t>
      </w:r>
    </w:p>
    <w:p w:rsidR="00856C82" w:rsidRDefault="00856C82" w:rsidP="00856C82">
      <w:pPr>
        <w:pStyle w:val="ListParagraph"/>
        <w:numPr>
          <w:ilvl w:val="1"/>
          <w:numId w:val="1"/>
        </w:numPr>
        <w:pBdr>
          <w:bottom w:val="single" w:sz="6" w:space="1" w:color="auto"/>
        </w:pBdr>
        <w:tabs>
          <w:tab w:val="left" w:pos="900"/>
          <w:tab w:val="left" w:pos="901"/>
        </w:tabs>
        <w:spacing w:before="58"/>
        <w:ind w:right="556"/>
        <w:rPr>
          <w:sz w:val="24"/>
          <w:szCs w:val="24"/>
        </w:rPr>
      </w:pPr>
      <w:r w:rsidRPr="00E141D7">
        <w:rPr>
          <w:sz w:val="24"/>
          <w:szCs w:val="24"/>
        </w:rPr>
        <w:t>Application components that exceed the maximum page allowance will be edited. Unrequested and extraneous attachments or supplemental material will be removed from the application. Non-conforming submissions will be returned for compilation and</w:t>
      </w:r>
      <w:r w:rsidRPr="00E141D7">
        <w:rPr>
          <w:spacing w:val="-37"/>
          <w:sz w:val="24"/>
          <w:szCs w:val="24"/>
        </w:rPr>
        <w:t xml:space="preserve"> </w:t>
      </w:r>
      <w:r w:rsidRPr="00E141D7">
        <w:rPr>
          <w:sz w:val="24"/>
          <w:szCs w:val="24"/>
        </w:rPr>
        <w:t>formatting.</w:t>
      </w:r>
    </w:p>
    <w:p w:rsidR="00690A54" w:rsidRPr="00690A54" w:rsidRDefault="00690A54" w:rsidP="00690A54">
      <w:pPr>
        <w:pBdr>
          <w:bottom w:val="single" w:sz="6" w:space="1" w:color="auto"/>
        </w:pBdr>
        <w:tabs>
          <w:tab w:val="left" w:pos="900"/>
          <w:tab w:val="left" w:pos="901"/>
        </w:tabs>
        <w:spacing w:before="58"/>
        <w:ind w:right="556"/>
        <w:rPr>
          <w:sz w:val="24"/>
          <w:szCs w:val="24"/>
        </w:rPr>
      </w:pPr>
      <w:bookmarkStart w:id="0" w:name="_GoBack"/>
      <w:bookmarkEnd w:id="0"/>
    </w:p>
    <w:p w:rsidR="00690A54" w:rsidRDefault="00690A54" w:rsidP="00690A54">
      <w:pPr>
        <w:rPr>
          <w:rStyle w:val="IntenseEmphasis"/>
          <w:rFonts w:asciiTheme="majorHAnsi" w:hAnsiTheme="majorHAnsi"/>
          <w:i w:val="0"/>
          <w:color w:val="000000" w:themeColor="text1"/>
          <w:sz w:val="28"/>
        </w:rPr>
      </w:pPr>
    </w:p>
    <w:p w:rsidR="00847768" w:rsidRPr="00831B33" w:rsidRDefault="00DD543B" w:rsidP="00690A54">
      <w:pPr>
        <w:rPr>
          <w:rStyle w:val="IntenseEmphasis"/>
          <w:rFonts w:asciiTheme="majorHAnsi" w:hAnsiTheme="majorHAnsi"/>
          <w:i w:val="0"/>
          <w:color w:val="000000" w:themeColor="text1"/>
          <w:sz w:val="28"/>
        </w:rPr>
      </w:pPr>
      <w:r w:rsidRPr="00831B33">
        <w:rPr>
          <w:rStyle w:val="IntenseEmphasis"/>
          <w:rFonts w:asciiTheme="majorHAnsi" w:hAnsiTheme="majorHAnsi"/>
          <w:i w:val="0"/>
          <w:color w:val="000000" w:themeColor="text1"/>
          <w:sz w:val="28"/>
        </w:rPr>
        <w:t xml:space="preserve">Terms and Conditions of the </w:t>
      </w:r>
      <w:r w:rsidR="00831B33" w:rsidRPr="00831B33">
        <w:rPr>
          <w:rStyle w:val="IntenseEmphasis"/>
          <w:rFonts w:asciiTheme="majorHAnsi" w:hAnsiTheme="majorHAnsi"/>
          <w:i w:val="0"/>
          <w:color w:val="000000" w:themeColor="text1"/>
          <w:sz w:val="28"/>
        </w:rPr>
        <w:t>SSHRC Explore Grants a</w:t>
      </w:r>
      <w:r w:rsidR="00831B33">
        <w:rPr>
          <w:rStyle w:val="IntenseEmphasis"/>
          <w:rFonts w:asciiTheme="majorHAnsi" w:hAnsiTheme="majorHAnsi"/>
          <w:i w:val="0"/>
          <w:color w:val="000000" w:themeColor="text1"/>
          <w:sz w:val="28"/>
        </w:rPr>
        <w:t xml:space="preserve">nd SSHRC Exchange Grants </w:t>
      </w:r>
    </w:p>
    <w:p w:rsidR="00831B33" w:rsidRPr="00831B33" w:rsidRDefault="00831B33" w:rsidP="00831B33">
      <w:pPr>
        <w:pStyle w:val="Heading1"/>
        <w:spacing w:after="60"/>
        <w:ind w:left="142"/>
        <w:rPr>
          <w:rStyle w:val="IntenseEmphasis"/>
          <w:b w:val="0"/>
          <w:i w:val="0"/>
          <w:color w:val="000000" w:themeColor="text1"/>
          <w:sz w:val="22"/>
          <w:szCs w:val="22"/>
        </w:rPr>
      </w:pPr>
      <w:r w:rsidRPr="00831B33">
        <w:rPr>
          <w:rStyle w:val="IntenseEmphasis"/>
          <w:b w:val="0"/>
          <w:i w:val="0"/>
          <w:color w:val="000000" w:themeColor="text1"/>
          <w:sz w:val="22"/>
          <w:szCs w:val="22"/>
        </w:rPr>
        <w:t>Grant recipients must agree to abide by the following terms and conditions.</w:t>
      </w:r>
    </w:p>
    <w:p w:rsidR="00847768" w:rsidRDefault="00DD543B">
      <w:pPr>
        <w:spacing w:before="155"/>
        <w:ind w:left="180"/>
        <w:rPr>
          <w:b/>
          <w:sz w:val="24"/>
        </w:rPr>
      </w:pPr>
      <w:r>
        <w:rPr>
          <w:b/>
          <w:sz w:val="24"/>
        </w:rPr>
        <w:t>Compliance with University Research Policies</w:t>
      </w:r>
    </w:p>
    <w:p w:rsidR="00847768" w:rsidRDefault="00DD543B" w:rsidP="00DF01E3">
      <w:pPr>
        <w:pStyle w:val="BodyText"/>
        <w:spacing w:before="157"/>
        <w:ind w:left="181" w:right="425"/>
      </w:pPr>
      <w:r>
        <w:t xml:space="preserve">All policies, regulations and administrative processes of Concordia University of Edmonton apply. Research must comply with University policies on the conduct of research, policies on research ethics, and research integrity. It is the responsibility of the primary applicant to secure the appropriate </w:t>
      </w:r>
      <w:r w:rsidR="00B87FE3">
        <w:t xml:space="preserve">permissions and </w:t>
      </w:r>
      <w:r>
        <w:t xml:space="preserve">approvals for the proposed </w:t>
      </w:r>
      <w:r w:rsidR="00B87FE3">
        <w:t>activity</w:t>
      </w:r>
      <w:r>
        <w:t>.</w:t>
      </w:r>
    </w:p>
    <w:p w:rsidR="00847768" w:rsidRDefault="00DD543B" w:rsidP="00DF01E3">
      <w:pPr>
        <w:pStyle w:val="Heading1"/>
        <w:spacing w:before="162"/>
        <w:ind w:left="181" w:right="425"/>
      </w:pPr>
      <w:r>
        <w:t>Research Ethics and Certifications</w:t>
      </w:r>
    </w:p>
    <w:p w:rsidR="00847768" w:rsidRDefault="001F47B3" w:rsidP="00DF01E3">
      <w:pPr>
        <w:pStyle w:val="BodyText"/>
        <w:spacing w:before="160"/>
        <w:ind w:left="181" w:right="425"/>
      </w:pPr>
      <w:r>
        <w:t>The</w:t>
      </w:r>
      <w:r>
        <w:rPr>
          <w:spacing w:val="-4"/>
        </w:rPr>
        <w:t xml:space="preserve"> </w:t>
      </w:r>
      <w:hyperlink r:id="rId12" w:history="1">
        <w:r w:rsidRPr="00F7107B">
          <w:rPr>
            <w:rStyle w:val="Hyperlink"/>
          </w:rPr>
          <w:t>Tri-Council</w:t>
        </w:r>
        <w:r w:rsidRPr="00F7107B">
          <w:rPr>
            <w:rStyle w:val="Hyperlink"/>
            <w:spacing w:val="-4"/>
          </w:rPr>
          <w:t xml:space="preserve"> </w:t>
        </w:r>
        <w:r w:rsidRPr="00F7107B">
          <w:rPr>
            <w:rStyle w:val="Hyperlink"/>
          </w:rPr>
          <w:t>Agreement</w:t>
        </w:r>
        <w:r w:rsidRPr="00F7107B">
          <w:rPr>
            <w:rStyle w:val="Hyperlink"/>
            <w:spacing w:val="-4"/>
          </w:rPr>
          <w:t xml:space="preserve"> </w:t>
        </w:r>
        <w:r w:rsidRPr="00F7107B">
          <w:rPr>
            <w:rStyle w:val="Hyperlink"/>
          </w:rPr>
          <w:t>on</w:t>
        </w:r>
        <w:r w:rsidRPr="00F7107B">
          <w:rPr>
            <w:rStyle w:val="Hyperlink"/>
            <w:spacing w:val="-4"/>
          </w:rPr>
          <w:t xml:space="preserve"> </w:t>
        </w:r>
        <w:r w:rsidRPr="00F7107B">
          <w:rPr>
            <w:rStyle w:val="Hyperlink"/>
          </w:rPr>
          <w:t>the</w:t>
        </w:r>
        <w:r w:rsidRPr="00F7107B">
          <w:rPr>
            <w:rStyle w:val="Hyperlink"/>
            <w:spacing w:val="-3"/>
          </w:rPr>
          <w:t xml:space="preserve"> </w:t>
        </w:r>
        <w:r w:rsidRPr="00F7107B">
          <w:rPr>
            <w:rStyle w:val="Hyperlink"/>
          </w:rPr>
          <w:t>Administration</w:t>
        </w:r>
        <w:r w:rsidRPr="00F7107B">
          <w:rPr>
            <w:rStyle w:val="Hyperlink"/>
            <w:spacing w:val="-5"/>
          </w:rPr>
          <w:t xml:space="preserve"> </w:t>
        </w:r>
        <w:r w:rsidRPr="00F7107B">
          <w:rPr>
            <w:rStyle w:val="Hyperlink"/>
          </w:rPr>
          <w:t>of</w:t>
        </w:r>
        <w:r w:rsidRPr="00F7107B">
          <w:rPr>
            <w:rStyle w:val="Hyperlink"/>
            <w:spacing w:val="-2"/>
          </w:rPr>
          <w:t xml:space="preserve"> </w:t>
        </w:r>
        <w:r w:rsidRPr="00F7107B">
          <w:rPr>
            <w:rStyle w:val="Hyperlink"/>
          </w:rPr>
          <w:t>Agency</w:t>
        </w:r>
        <w:r w:rsidRPr="00F7107B">
          <w:rPr>
            <w:rStyle w:val="Hyperlink"/>
            <w:spacing w:val="-4"/>
          </w:rPr>
          <w:t xml:space="preserve"> </w:t>
        </w:r>
        <w:r w:rsidRPr="00F7107B">
          <w:rPr>
            <w:rStyle w:val="Hyperlink"/>
          </w:rPr>
          <w:t>Grants</w:t>
        </w:r>
      </w:hyperlink>
      <w:r>
        <w:rPr>
          <w:spacing w:val="-4"/>
        </w:rPr>
        <w:t xml:space="preserve"> </w:t>
      </w:r>
      <w:r>
        <w:t>and</w:t>
      </w:r>
      <w:r>
        <w:rPr>
          <w:spacing w:val="-4"/>
        </w:rPr>
        <w:t xml:space="preserve"> </w:t>
      </w:r>
      <w:r w:rsidR="00DD543B">
        <w:t>related</w:t>
      </w:r>
      <w:r w:rsidR="00DD543B">
        <w:rPr>
          <w:spacing w:val="-4"/>
        </w:rPr>
        <w:t xml:space="preserve"> </w:t>
      </w:r>
      <w:r w:rsidR="00DD543B">
        <w:t>documents</w:t>
      </w:r>
      <w:r w:rsidR="00DD543B">
        <w:rPr>
          <w:spacing w:val="-4"/>
        </w:rPr>
        <w:t xml:space="preserve"> </w:t>
      </w:r>
      <w:r w:rsidR="00DD543B">
        <w:t>require</w:t>
      </w:r>
      <w:r w:rsidR="00DD543B">
        <w:rPr>
          <w:spacing w:val="-4"/>
        </w:rPr>
        <w:t xml:space="preserve"> </w:t>
      </w:r>
      <w:r w:rsidR="00DD543B">
        <w:t xml:space="preserve">that researchers at eligible institutions ensure human ethics oversight for all funded research which involves human participants (regardless of the source). Applicants whose research involves human participants must submit a research ethics application to the Concordia Research Ethics Board and secure Research Ethics Board (REB) approval. REB approval must be in place before funding can be released and before any </w:t>
      </w:r>
      <w:r w:rsidR="00D81E9E">
        <w:t>research</w:t>
      </w:r>
      <w:r w:rsidR="00DD543B">
        <w:t xml:space="preserve"> involving human participants can take</w:t>
      </w:r>
      <w:r w:rsidR="00DD543B">
        <w:rPr>
          <w:spacing w:val="-35"/>
        </w:rPr>
        <w:t xml:space="preserve"> </w:t>
      </w:r>
      <w:r w:rsidR="00DD543B">
        <w:t>place.</w:t>
      </w:r>
    </w:p>
    <w:p w:rsidR="00C70BDC" w:rsidRDefault="00C70BDC" w:rsidP="00C70BDC">
      <w:pPr>
        <w:pStyle w:val="Heading1"/>
        <w:ind w:left="181" w:right="425"/>
        <w:rPr>
          <w:b w:val="0"/>
          <w:sz w:val="16"/>
        </w:rPr>
      </w:pPr>
      <w:r>
        <w:t>Acknowledgement</w:t>
      </w:r>
    </w:p>
    <w:p w:rsidR="00C70BDC" w:rsidRDefault="00C70BDC" w:rsidP="00C70BDC">
      <w:pPr>
        <w:pStyle w:val="BodyText"/>
        <w:spacing w:before="52"/>
        <w:ind w:left="181" w:right="425"/>
      </w:pPr>
      <w:r>
        <w:t>Recipients of the SSHRC Explore and SSHRC Exchange Grant are required to acknowledge SSHRC support for their research or research-related activities in all outputs. The following wording is suggested:</w:t>
      </w:r>
      <w:r w:rsidRPr="00FC6D44">
        <w:rPr>
          <w:i/>
        </w:rPr>
        <w:t xml:space="preserve"> This research [or activity] has been supported by a Social Sciences and Humanities Research Council of Canada Explore/Exchange Grant.</w:t>
      </w:r>
    </w:p>
    <w:p w:rsidR="00B3005A" w:rsidRDefault="00DD543B" w:rsidP="00C70BDC">
      <w:pPr>
        <w:pStyle w:val="Heading1"/>
        <w:ind w:left="181" w:right="425"/>
      </w:pPr>
      <w:r>
        <w:t>Responsible Use of Grant Funds</w:t>
      </w:r>
    </w:p>
    <w:p w:rsidR="00847768" w:rsidRPr="00B3005A" w:rsidRDefault="00D81E9E" w:rsidP="00DF01E3">
      <w:pPr>
        <w:pStyle w:val="Heading1"/>
        <w:spacing w:before="0"/>
        <w:ind w:left="181" w:right="425"/>
        <w:rPr>
          <w:b w:val="0"/>
        </w:rPr>
      </w:pPr>
      <w:r w:rsidRPr="00D81E9E">
        <w:rPr>
          <w:b w:val="0"/>
        </w:rPr>
        <w:t xml:space="preserve">The policies and requirements of the agencies stated in the </w:t>
      </w:r>
      <w:hyperlink r:id="rId13" w:history="1">
        <w:r w:rsidRPr="00D81E9E">
          <w:rPr>
            <w:rStyle w:val="Hyperlink"/>
            <w:b w:val="0"/>
          </w:rPr>
          <w:t>Tri Agency Financial Administration Guide</w:t>
        </w:r>
      </w:hyperlink>
      <w:r w:rsidRPr="00D81E9E">
        <w:rPr>
          <w:b w:val="0"/>
        </w:rPr>
        <w:t xml:space="preserve"> apply at all times</w:t>
      </w:r>
      <w:r w:rsidR="00DD543B" w:rsidRPr="00D81E9E">
        <w:rPr>
          <w:b w:val="0"/>
        </w:rPr>
        <w:t>.</w:t>
      </w:r>
      <w:r w:rsidR="00DD543B" w:rsidRPr="00B3005A">
        <w:rPr>
          <w:b w:val="0"/>
        </w:rPr>
        <w:t xml:space="preserve"> The award recipient is responsible for the use of the funds and for any over- expenditure of accounts.</w:t>
      </w:r>
      <w:r w:rsidR="00EC4A58" w:rsidRPr="00EC4A58">
        <w:t xml:space="preserve"> </w:t>
      </w:r>
      <w:r w:rsidR="00EC4A58" w:rsidRPr="00EC4A58">
        <w:rPr>
          <w:b w:val="0"/>
        </w:rPr>
        <w:t xml:space="preserve">All activities and expenditures must be completed within the duration of the </w:t>
      </w:r>
      <w:r w:rsidR="00EC4A58" w:rsidRPr="00EC4A58">
        <w:rPr>
          <w:b w:val="0"/>
        </w:rPr>
        <w:lastRenderedPageBreak/>
        <w:t>grant. Upon completion of the grant, the grant account will be closed and all unused funds will expire and be reclaimed.</w:t>
      </w:r>
    </w:p>
    <w:p w:rsidR="00DF01E3" w:rsidRPr="00DF01E3" w:rsidRDefault="00DF01E3" w:rsidP="00DF01E3">
      <w:pPr>
        <w:spacing w:before="159"/>
        <w:ind w:left="181" w:right="425"/>
        <w:rPr>
          <w:sz w:val="24"/>
          <w:szCs w:val="24"/>
        </w:rPr>
      </w:pPr>
      <w:bookmarkStart w:id="1" w:name="_Hlk512594497"/>
      <w:r w:rsidRPr="00DF01E3">
        <w:rPr>
          <w:sz w:val="24"/>
          <w:szCs w:val="24"/>
        </w:rPr>
        <w:t>Expenditures are permitted only for those elements identified in the application. Reasonable substitutions or alterations may be permitted as well as minor transfers of funds from one budget category to another. Use of funds for a previously unspecified purpose, or major changes in the scope of work must be submitted to the Office of Research Services for approval.</w:t>
      </w:r>
    </w:p>
    <w:bookmarkEnd w:id="1"/>
    <w:p w:rsidR="00DF01E3" w:rsidRPr="00DF01E3" w:rsidRDefault="00E0357F" w:rsidP="00DF01E3">
      <w:pPr>
        <w:pStyle w:val="BodyText"/>
        <w:spacing w:before="158"/>
        <w:ind w:left="181" w:right="425"/>
      </w:pPr>
      <w:r>
        <w:t>Cash advances of internal research grant funds are not</w:t>
      </w:r>
      <w:r w:rsidR="00EC4A58">
        <w:t xml:space="preserve"> normally </w:t>
      </w:r>
      <w:r>
        <w:t xml:space="preserve">permitted; however, some expenses can be covered directly by the institution (e.g. purchase orders). </w:t>
      </w:r>
    </w:p>
    <w:p w:rsidR="00847768" w:rsidRDefault="00DD543B" w:rsidP="00DF01E3">
      <w:pPr>
        <w:pStyle w:val="BodyText"/>
        <w:spacing w:before="158"/>
        <w:ind w:left="181" w:right="425"/>
      </w:pPr>
      <w:r w:rsidRPr="00DF01E3">
        <w:t>Equipment purchased shall remain the property of Concordia University of Edmonton</w:t>
      </w:r>
      <w:r>
        <w:t xml:space="preserve"> and costs associated with the care and use of any equipment purchased will be the responsibility of the award recipient and their department.</w:t>
      </w:r>
    </w:p>
    <w:p w:rsidR="00847768" w:rsidRDefault="00DD543B" w:rsidP="00DF01E3">
      <w:pPr>
        <w:pStyle w:val="Heading1"/>
        <w:spacing w:before="160"/>
        <w:ind w:left="181" w:right="425"/>
      </w:pPr>
      <w:r>
        <w:t>Eligible Expenses</w:t>
      </w:r>
    </w:p>
    <w:p w:rsidR="00941974" w:rsidRDefault="00F34FB0" w:rsidP="00DF01E3">
      <w:pPr>
        <w:pStyle w:val="BodyText"/>
        <w:spacing w:before="157"/>
        <w:ind w:left="181" w:right="425"/>
        <w:rPr>
          <w:color w:val="212121"/>
        </w:rPr>
      </w:pPr>
      <w:r w:rsidRPr="00EC4A58">
        <w:rPr>
          <w:color w:val="212121"/>
        </w:rPr>
        <w:t>F</w:t>
      </w:r>
      <w:r w:rsidR="00DD543B" w:rsidRPr="00EC4A58">
        <w:rPr>
          <w:color w:val="212121"/>
        </w:rPr>
        <w:t xml:space="preserve">unding is intended to cover the direct costs of the research </w:t>
      </w:r>
      <w:r w:rsidR="00826352">
        <w:rPr>
          <w:color w:val="212121"/>
        </w:rPr>
        <w:t xml:space="preserve">or research activity and expenses must be eligible as outlined in the </w:t>
      </w:r>
      <w:hyperlink r:id="rId14" w:history="1">
        <w:r w:rsidR="00826352" w:rsidRPr="00826352">
          <w:rPr>
            <w:rStyle w:val="Hyperlink"/>
          </w:rPr>
          <w:t>Tri-Agency Financial Administration Guide</w:t>
        </w:r>
      </w:hyperlink>
      <w:r w:rsidR="00826352">
        <w:rPr>
          <w:color w:val="212121"/>
        </w:rPr>
        <w:t>.</w:t>
      </w:r>
      <w:r w:rsidR="00941974">
        <w:rPr>
          <w:color w:val="212121"/>
        </w:rPr>
        <w:t xml:space="preserve"> </w:t>
      </w:r>
      <w:r w:rsidR="00941974" w:rsidRPr="00941974">
        <w:rPr>
          <w:color w:val="212121"/>
        </w:rPr>
        <w:t>All items must be essential to the proposed work and must be carefully justified.</w:t>
      </w:r>
    </w:p>
    <w:p w:rsidR="00847768" w:rsidRDefault="00826352" w:rsidP="00DF01E3">
      <w:pPr>
        <w:pStyle w:val="BodyText"/>
        <w:spacing w:before="157"/>
        <w:ind w:left="181" w:right="425"/>
        <w:rPr>
          <w:color w:val="212121"/>
        </w:rPr>
      </w:pPr>
      <w:r>
        <w:rPr>
          <w:color w:val="212121"/>
        </w:rPr>
        <w:t xml:space="preserve">Explore Grants: </w:t>
      </w:r>
      <w:r w:rsidR="00941974">
        <w:rPr>
          <w:color w:val="212121"/>
        </w:rPr>
        <w:t xml:space="preserve">Examples include </w:t>
      </w:r>
      <w:r w:rsidR="00DD543B" w:rsidRPr="00EC4A58">
        <w:rPr>
          <w:color w:val="212121"/>
        </w:rPr>
        <w:t>hiring student research assistant</w:t>
      </w:r>
      <w:r w:rsidR="00B3005A" w:rsidRPr="00EC4A58">
        <w:rPr>
          <w:color w:val="212121"/>
        </w:rPr>
        <w:t>s</w:t>
      </w:r>
      <w:r w:rsidR="00DD543B" w:rsidRPr="00EC4A58">
        <w:rPr>
          <w:color w:val="212121"/>
        </w:rPr>
        <w:t>, specialized software</w:t>
      </w:r>
      <w:r w:rsidR="00B3005A" w:rsidRPr="00EC4A58">
        <w:rPr>
          <w:color w:val="212121"/>
        </w:rPr>
        <w:t xml:space="preserve">, </w:t>
      </w:r>
      <w:r w:rsidR="00DD543B" w:rsidRPr="00EC4A58">
        <w:rPr>
          <w:color w:val="212121"/>
        </w:rPr>
        <w:t>materials and supplies</w:t>
      </w:r>
      <w:r w:rsidR="00B3005A" w:rsidRPr="00EC4A58">
        <w:rPr>
          <w:color w:val="212121"/>
        </w:rPr>
        <w:t xml:space="preserve"> not available through the institution</w:t>
      </w:r>
      <w:r w:rsidR="00DD543B" w:rsidRPr="00EC4A58">
        <w:rPr>
          <w:color w:val="212121"/>
        </w:rPr>
        <w:t>, data collection costs including travel to field research sites</w:t>
      </w:r>
      <w:r w:rsidR="00DF01E3" w:rsidRPr="00EC4A58">
        <w:rPr>
          <w:color w:val="212121"/>
        </w:rPr>
        <w:t xml:space="preserve"> for data collection</w:t>
      </w:r>
      <w:r w:rsidR="00DD543B" w:rsidRPr="00EC4A58">
        <w:rPr>
          <w:color w:val="212121"/>
        </w:rPr>
        <w:t>,</w:t>
      </w:r>
      <w:r w:rsidR="00DF01E3" w:rsidRPr="00EC4A58">
        <w:rPr>
          <w:color w:val="212121"/>
        </w:rPr>
        <w:t xml:space="preserve"> </w:t>
      </w:r>
      <w:r w:rsidR="00DD543B" w:rsidRPr="00EC4A58">
        <w:rPr>
          <w:color w:val="212121"/>
        </w:rPr>
        <w:t xml:space="preserve">libraries, archives, and institutions, </w:t>
      </w:r>
      <w:r>
        <w:rPr>
          <w:color w:val="212121"/>
        </w:rPr>
        <w:t xml:space="preserve">technical </w:t>
      </w:r>
      <w:r w:rsidR="00DD543B" w:rsidRPr="00EC4A58">
        <w:rPr>
          <w:color w:val="212121"/>
        </w:rPr>
        <w:t xml:space="preserve">services such as translation. </w:t>
      </w:r>
    </w:p>
    <w:p w:rsidR="00941974" w:rsidRDefault="00941974" w:rsidP="00DF01E3">
      <w:pPr>
        <w:pStyle w:val="BodyText"/>
        <w:spacing w:before="157"/>
        <w:ind w:left="181" w:right="425"/>
      </w:pPr>
      <w:r>
        <w:rPr>
          <w:color w:val="212121"/>
        </w:rPr>
        <w:t xml:space="preserve">Exchange Grants: </w:t>
      </w:r>
      <w:r w:rsidR="002459ED">
        <w:rPr>
          <w:color w:val="212121"/>
        </w:rPr>
        <w:t>I</w:t>
      </w:r>
      <w:r w:rsidR="002459ED" w:rsidRPr="002459ED">
        <w:rPr>
          <w:color w:val="212121"/>
        </w:rPr>
        <w:t>ntended to cover the direct costs of the dissemination activity</w:t>
      </w:r>
      <w:r w:rsidR="002459ED">
        <w:rPr>
          <w:color w:val="212121"/>
        </w:rPr>
        <w:t xml:space="preserve"> such as economy travel, accommodations, meals, conference registration, </w:t>
      </w:r>
      <w:r w:rsidR="005F4F05">
        <w:rPr>
          <w:color w:val="212121"/>
        </w:rPr>
        <w:t>open access publishing costs.</w:t>
      </w:r>
    </w:p>
    <w:p w:rsidR="00847768" w:rsidRDefault="00DD543B" w:rsidP="00DF01E3">
      <w:pPr>
        <w:pStyle w:val="Heading1"/>
        <w:spacing w:before="157"/>
        <w:ind w:left="181" w:right="425"/>
      </w:pPr>
      <w:r>
        <w:t>Ineligible Expenses</w:t>
      </w:r>
    </w:p>
    <w:p w:rsidR="00847768" w:rsidRDefault="00DD543B" w:rsidP="00160CFF">
      <w:pPr>
        <w:pStyle w:val="BodyText"/>
        <w:spacing w:before="160"/>
        <w:ind w:left="181" w:right="425"/>
      </w:pPr>
      <w:r>
        <w:t>University finance policies and guidelines must be adhered to for all requested budget items. Funds are not intended to provide release time for faculty, salaries, or living expenses. Funding does n</w:t>
      </w:r>
      <w:r w:rsidR="00160CFF">
        <w:t xml:space="preserve">ot support </w:t>
      </w:r>
      <w:r w:rsidR="00233A33">
        <w:t xml:space="preserve">teaching related costs, </w:t>
      </w:r>
      <w:r w:rsidR="00160CFF">
        <w:t>c</w:t>
      </w:r>
      <w:r>
        <w:t>redential research, tuition and other costs affiliated with the completion of degrees or coursework</w:t>
      </w:r>
      <w:r w:rsidR="00160CFF">
        <w:t xml:space="preserve">. </w:t>
      </w:r>
      <w:r w:rsidR="005F4F05" w:rsidRPr="005F4F05">
        <w:t>Funding does not support professional development</w:t>
      </w:r>
      <w:r w:rsidR="00E141D7">
        <w:t xml:space="preserve"> </w:t>
      </w:r>
      <w:r w:rsidR="005F4F05" w:rsidRPr="005F4F05">
        <w:t>such as attendance at meetings</w:t>
      </w:r>
      <w:r w:rsidR="00233A33">
        <w:t xml:space="preserve"> o</w:t>
      </w:r>
      <w:r w:rsidR="005F4F05" w:rsidRPr="005F4F05">
        <w:t>r conferences where work is not being presented</w:t>
      </w:r>
      <w:r w:rsidR="00233A33">
        <w:t xml:space="preserve">, nor does it support training such as language or computer training. </w:t>
      </w:r>
      <w:r>
        <w:t>Retroactive funding and expenses incurred prior to the date of award letter will not be considered.</w:t>
      </w:r>
    </w:p>
    <w:p w:rsidR="00847768" w:rsidRDefault="00DD543B" w:rsidP="00DF01E3">
      <w:pPr>
        <w:pStyle w:val="Heading1"/>
        <w:ind w:left="181" w:right="425"/>
      </w:pPr>
      <w:r>
        <w:t>Grant</w:t>
      </w:r>
      <w:r w:rsidR="006241C6">
        <w:t xml:space="preserve"> Expiry</w:t>
      </w:r>
    </w:p>
    <w:p w:rsidR="0002367C" w:rsidRDefault="0002367C" w:rsidP="00DF01E3">
      <w:pPr>
        <w:pStyle w:val="BodyText"/>
        <w:spacing w:before="157"/>
        <w:ind w:left="181" w:right="425"/>
      </w:pPr>
      <w:r>
        <w:t>The term of an award is twelve months. After this date, funds will expire and unused funds will be reclaimed.</w:t>
      </w:r>
    </w:p>
    <w:p w:rsidR="00847768" w:rsidRDefault="00DD543B" w:rsidP="00DF01E3">
      <w:pPr>
        <w:pStyle w:val="Heading1"/>
        <w:ind w:left="181" w:right="425"/>
      </w:pPr>
      <w:r w:rsidRPr="00AC2C35">
        <w:t>Reporting</w:t>
      </w:r>
    </w:p>
    <w:p w:rsidR="00DF01E3" w:rsidRPr="00DF01E3" w:rsidRDefault="0002367C" w:rsidP="00DF01E3">
      <w:pPr>
        <w:pStyle w:val="BodyText"/>
        <w:spacing w:before="157"/>
        <w:ind w:left="180" w:right="1151"/>
      </w:pPr>
      <w:r>
        <w:t xml:space="preserve">Within </w:t>
      </w:r>
      <w:r w:rsidR="00160CFF">
        <w:t>30 days o</w:t>
      </w:r>
      <w:r>
        <w:t xml:space="preserve">f </w:t>
      </w:r>
      <w:r w:rsidR="00AC2C35">
        <w:t xml:space="preserve">completion of the project or </w:t>
      </w:r>
      <w:r>
        <w:t xml:space="preserve">the termination of the grant, </w:t>
      </w:r>
      <w:r w:rsidR="00AC2C35">
        <w:t>whichever comes first.</w:t>
      </w:r>
      <w:r w:rsidR="00DF01E3" w:rsidRPr="00DF01E3">
        <w:t xml:space="preserve"> This final achievement report is available by emailing </w:t>
      </w:r>
      <w:hyperlink r:id="rId15" w:history="1">
        <w:r w:rsidR="00DF01E3" w:rsidRPr="00DF01E3">
          <w:rPr>
            <w:color w:val="0000FF" w:themeColor="hyperlink"/>
            <w:u w:val="single"/>
          </w:rPr>
          <w:t>research@concordia.ab.ca</w:t>
        </w:r>
      </w:hyperlink>
      <w:r w:rsidR="00DF01E3" w:rsidRPr="00DF01E3">
        <w:t>.</w:t>
      </w:r>
      <w:r w:rsidR="00AC2C35" w:rsidRPr="00AC2C35">
        <w:t xml:space="preserve"> </w:t>
      </w:r>
      <w:r w:rsidR="00AC2C35">
        <w:t xml:space="preserve">The final report is to be submitted to the </w:t>
      </w:r>
      <w:r w:rsidR="00AC2C35" w:rsidRPr="00DF01E3">
        <w:t>Office of Research Services</w:t>
      </w:r>
      <w:r w:rsidR="00AC2C35">
        <w:t>.</w:t>
      </w:r>
    </w:p>
    <w:p w:rsidR="00847768" w:rsidRDefault="00847768">
      <w:pPr>
        <w:pStyle w:val="BodyText"/>
        <w:spacing w:before="12"/>
        <w:rPr>
          <w:sz w:val="17"/>
        </w:rPr>
      </w:pPr>
    </w:p>
    <w:sectPr w:rsidR="00847768" w:rsidSect="00DF01E3">
      <w:pgSz w:w="12240" w:h="15840"/>
      <w:pgMar w:top="1580" w:right="560" w:bottom="851" w:left="900" w:header="458" w:footer="462"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0AFD" w:rsidRDefault="00720AFD">
      <w:r>
        <w:separator/>
      </w:r>
    </w:p>
  </w:endnote>
  <w:endnote w:type="continuationSeparator" w:id="0">
    <w:p w:rsidR="00720AFD" w:rsidRDefault="00720A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7768" w:rsidRDefault="00171153">
    <w:pPr>
      <w:pStyle w:val="BodyText"/>
      <w:spacing w:line="14" w:lineRule="auto"/>
      <w:rPr>
        <w:sz w:val="20"/>
      </w:rPr>
    </w:pPr>
    <w:r>
      <w:rPr>
        <w:noProof/>
        <w:lang w:val="en-CA" w:eastAsia="en-CA"/>
      </w:rPr>
      <mc:AlternateContent>
        <mc:Choice Requires="wps">
          <w:drawing>
            <wp:anchor distT="0" distB="0" distL="114300" distR="114300" simplePos="0" relativeHeight="503307992" behindDoc="1" locked="0" layoutInCell="1" allowOverlap="1">
              <wp:simplePos x="0" y="0"/>
              <wp:positionH relativeFrom="page">
                <wp:posOffset>673100</wp:posOffset>
              </wp:positionH>
              <wp:positionV relativeFrom="page">
                <wp:posOffset>9625330</wp:posOffset>
              </wp:positionV>
              <wp:extent cx="1601470" cy="226695"/>
              <wp:effectExtent l="0" t="0" r="190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1470" cy="226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7768" w:rsidRDefault="00A078F1" w:rsidP="00755413">
                          <w:pPr>
                            <w:spacing w:before="14"/>
                            <w:ind w:left="20" w:right="-3"/>
                            <w:rPr>
                              <w:rFonts w:ascii="Arial"/>
                              <w:sz w:val="14"/>
                            </w:rPr>
                          </w:pPr>
                          <w:r>
                            <w:rPr>
                              <w:rFonts w:ascii="Arial"/>
                              <w:sz w:val="14"/>
                            </w:rPr>
                            <w:t>SSHRC Institutional Grant (SIG) F</w:t>
                          </w:r>
                          <w:r w:rsidR="00DD543B">
                            <w:rPr>
                              <w:rFonts w:ascii="Arial"/>
                              <w:sz w:val="14"/>
                            </w:rPr>
                            <w:t xml:space="preserve">unds Guidelines </w:t>
                          </w:r>
                          <w:r>
                            <w:rPr>
                              <w:rFonts w:ascii="Arial"/>
                              <w:sz w:val="14"/>
                            </w:rPr>
                            <w:t>March2019</w:t>
                          </w:r>
                          <w:r w:rsidR="00755413">
                            <w:rPr>
                              <w:rFonts w:ascii="Arial"/>
                              <w:sz w:val="14"/>
                            </w:rPr>
                            <w:t>-V1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3pt;margin-top:757.9pt;width:126.1pt;height:17.85pt;z-index:-8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QhJrAIAAKkFAAAOAAAAZHJzL2Uyb0RvYy54bWysVG1vmzAQ/j5p/8Hyd8pLCQk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" filled="f" stroked="f">
              <v:textbox inset="0,0,0,0">
                <w:txbxContent>
                  <w:p w:rsidR="00847768" w:rsidRDefault="00A078F1" w:rsidP="00755413">
                    <w:pPr>
                      <w:spacing w:before="14"/>
                      <w:ind w:left="20" w:right="-3"/>
                      <w:rPr>
                        <w:rFonts w:ascii="Arial"/>
                        <w:sz w:val="14"/>
                      </w:rPr>
                    </w:pPr>
                    <w:r>
                      <w:rPr>
                        <w:rFonts w:ascii="Arial"/>
                        <w:sz w:val="14"/>
                      </w:rPr>
                      <w:t>SSHRC Institutional Grant (SIG) F</w:t>
                    </w:r>
                    <w:r w:rsidR="00DD543B">
                      <w:rPr>
                        <w:rFonts w:ascii="Arial"/>
                        <w:sz w:val="14"/>
                      </w:rPr>
                      <w:t xml:space="preserve">unds Guidelines </w:t>
                    </w:r>
                    <w:r>
                      <w:rPr>
                        <w:rFonts w:ascii="Arial"/>
                        <w:sz w:val="14"/>
                      </w:rPr>
                      <w:t>March2019</w:t>
                    </w:r>
                    <w:r w:rsidR="00755413">
                      <w:rPr>
                        <w:rFonts w:ascii="Arial"/>
                        <w:sz w:val="14"/>
                      </w:rPr>
                      <w:t>-V1</w:t>
                    </w:r>
                  </w:p>
                </w:txbxContent>
              </v:textbox>
              <w10:wrap anchorx="page" anchory="page"/>
            </v:shape>
          </w:pict>
        </mc:Fallback>
      </mc:AlternateContent>
    </w:r>
    <w:r>
      <w:rPr>
        <w:noProof/>
        <w:lang w:val="en-CA" w:eastAsia="en-CA"/>
      </w:rPr>
      <mc:AlternateContent>
        <mc:Choice Requires="wps">
          <w:drawing>
            <wp:anchor distT="0" distB="0" distL="114300" distR="114300" simplePos="0" relativeHeight="503308016" behindDoc="1" locked="0" layoutInCell="1" allowOverlap="1">
              <wp:simplePos x="0" y="0"/>
              <wp:positionH relativeFrom="page">
                <wp:posOffset>6548755</wp:posOffset>
              </wp:positionH>
              <wp:positionV relativeFrom="page">
                <wp:posOffset>9826625</wp:posOffset>
              </wp:positionV>
              <wp:extent cx="107950" cy="139700"/>
              <wp:effectExtent l="0" t="0" r="127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7768" w:rsidRDefault="00DD543B">
                          <w:pPr>
                            <w:spacing w:before="15"/>
                            <w:ind w:left="40"/>
                            <w:rPr>
                              <w:rFonts w:ascii="Arial"/>
                              <w:b/>
                              <w:sz w:val="16"/>
                            </w:rPr>
                          </w:pPr>
                          <w:r>
                            <w:fldChar w:fldCharType="begin"/>
                          </w:r>
                          <w:r>
                            <w:rPr>
                              <w:rFonts w:ascii="Arial"/>
                              <w:b/>
                              <w:sz w:val="16"/>
                            </w:rPr>
                            <w:instrText xml:space="preserve"> PAGE </w:instrText>
                          </w:r>
                          <w:r>
                            <w:fldChar w:fldCharType="separate"/>
                          </w:r>
                          <w:r w:rsidR="009A6571">
                            <w:rPr>
                              <w:rFonts w:ascii="Arial"/>
                              <w:b/>
                              <w:noProof/>
                              <w:sz w:val="16"/>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515.65pt;margin-top:773.75pt;width:8.5pt;height:11pt;z-index:-8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" filled="f" stroked="f">
              <v:textbox inset="0,0,0,0">
                <w:txbxContent>
                  <w:p w:rsidR="00847768" w:rsidRDefault="00DD543B">
                    <w:pPr>
                      <w:spacing w:before="15"/>
                      <w:ind w:left="40"/>
                      <w:rPr>
                        <w:rFonts w:ascii="Arial"/>
                        <w:b/>
                        <w:sz w:val="16"/>
                      </w:rPr>
                    </w:pPr>
                    <w:r>
                      <w:fldChar w:fldCharType="begin"/>
                    </w:r>
                    <w:r>
                      <w:rPr>
                        <w:rFonts w:ascii="Arial"/>
                        <w:b/>
                        <w:sz w:val="16"/>
                      </w:rPr>
                      <w:instrText xml:space="preserve"> PAGE </w:instrText>
                    </w:r>
                    <w:r>
                      <w:fldChar w:fldCharType="separate"/>
                    </w:r>
                    <w:r w:rsidR="009A6571">
                      <w:rPr>
                        <w:rFonts w:ascii="Arial"/>
                        <w:b/>
                        <w:noProof/>
                        <w:sz w:val="16"/>
                      </w:rPr>
                      <w:t>6</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0AFD" w:rsidRDefault="00720AFD">
      <w:r>
        <w:separator/>
      </w:r>
    </w:p>
  </w:footnote>
  <w:footnote w:type="continuationSeparator" w:id="0">
    <w:p w:rsidR="00720AFD" w:rsidRDefault="00720AF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7768" w:rsidRDefault="00DD543B">
    <w:pPr>
      <w:pStyle w:val="BodyText"/>
      <w:spacing w:line="14" w:lineRule="auto"/>
      <w:rPr>
        <w:sz w:val="20"/>
      </w:rPr>
    </w:pPr>
    <w:r>
      <w:rPr>
        <w:noProof/>
        <w:lang w:val="en-CA" w:eastAsia="en-CA"/>
      </w:rPr>
      <w:drawing>
        <wp:anchor distT="0" distB="0" distL="0" distR="0" simplePos="0" relativeHeight="268426895" behindDoc="1" locked="0" layoutInCell="1" allowOverlap="1">
          <wp:simplePos x="0" y="0"/>
          <wp:positionH relativeFrom="page">
            <wp:posOffset>638555</wp:posOffset>
          </wp:positionH>
          <wp:positionV relativeFrom="page">
            <wp:posOffset>291084</wp:posOffset>
          </wp:positionV>
          <wp:extent cx="1551432" cy="661416"/>
          <wp:effectExtent l="0" t="0" r="0" b="0"/>
          <wp:wrapNone/>
          <wp:docPr id="10"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551432" cy="661416"/>
                  </a:xfrm>
                  <a:prstGeom prst="rect">
                    <a:avLst/>
                  </a:prstGeom>
                </pic:spPr>
              </pic:pic>
            </a:graphicData>
          </a:graphic>
        </wp:anchor>
      </w:drawing>
    </w:r>
    <w:r w:rsidR="00171153">
      <w:rPr>
        <w:noProof/>
        <w:lang w:val="en-CA" w:eastAsia="en-CA"/>
      </w:rPr>
      <mc:AlternateContent>
        <mc:Choice Requires="wps">
          <w:drawing>
            <wp:anchor distT="0" distB="0" distL="114300" distR="114300" simplePos="0" relativeHeight="503307944" behindDoc="1" locked="0" layoutInCell="1" allowOverlap="1">
              <wp:simplePos x="0" y="0"/>
              <wp:positionH relativeFrom="page">
                <wp:posOffset>895985</wp:posOffset>
              </wp:positionH>
              <wp:positionV relativeFrom="page">
                <wp:posOffset>1001395</wp:posOffset>
              </wp:positionV>
              <wp:extent cx="6437630" cy="0"/>
              <wp:effectExtent l="10160" t="10795" r="10160" b="8255"/>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7630" cy="0"/>
                      </a:xfrm>
                      <a:prstGeom prst="line">
                        <a:avLst/>
                      </a:prstGeom>
                      <a:noFill/>
                      <a:ln w="15240">
                        <a:solidFill>
                          <a:srgbClr val="17375E"/>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4AB58EA3" id="Line 4" o:spid="_x0000_s1026" style="position:absolute;z-index:-8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55pt,78.85pt" to="577.45pt,7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" strokecolor="#17375e" strokeweight="1.2pt">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D34499"/>
    <w:multiLevelType w:val="hybridMultilevel"/>
    <w:tmpl w:val="EB1E91AE"/>
    <w:lvl w:ilvl="0" w:tplc="D488F088">
      <w:start w:val="1"/>
      <w:numFmt w:val="bullet"/>
      <w:lvlText w:val=""/>
      <w:lvlJc w:val="left"/>
      <w:pPr>
        <w:ind w:left="36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40456C2"/>
    <w:multiLevelType w:val="hybridMultilevel"/>
    <w:tmpl w:val="3702B168"/>
    <w:lvl w:ilvl="0" w:tplc="10090001">
      <w:start w:val="1"/>
      <w:numFmt w:val="bullet"/>
      <w:lvlText w:val=""/>
      <w:lvlJc w:val="left"/>
      <w:pPr>
        <w:ind w:left="900" w:hanging="360"/>
      </w:pPr>
      <w:rPr>
        <w:rFonts w:ascii="Symbol" w:hAnsi="Symbol" w:hint="default"/>
      </w:rPr>
    </w:lvl>
    <w:lvl w:ilvl="1" w:tplc="10090003" w:tentative="1">
      <w:start w:val="1"/>
      <w:numFmt w:val="bullet"/>
      <w:lvlText w:val="o"/>
      <w:lvlJc w:val="left"/>
      <w:pPr>
        <w:ind w:left="1620" w:hanging="360"/>
      </w:pPr>
      <w:rPr>
        <w:rFonts w:ascii="Courier New" w:hAnsi="Courier New" w:cs="Courier New" w:hint="default"/>
      </w:rPr>
    </w:lvl>
    <w:lvl w:ilvl="2" w:tplc="10090005" w:tentative="1">
      <w:start w:val="1"/>
      <w:numFmt w:val="bullet"/>
      <w:lvlText w:val=""/>
      <w:lvlJc w:val="left"/>
      <w:pPr>
        <w:ind w:left="2340" w:hanging="360"/>
      </w:pPr>
      <w:rPr>
        <w:rFonts w:ascii="Wingdings" w:hAnsi="Wingdings" w:hint="default"/>
      </w:rPr>
    </w:lvl>
    <w:lvl w:ilvl="3" w:tplc="10090001" w:tentative="1">
      <w:start w:val="1"/>
      <w:numFmt w:val="bullet"/>
      <w:lvlText w:val=""/>
      <w:lvlJc w:val="left"/>
      <w:pPr>
        <w:ind w:left="3060" w:hanging="360"/>
      </w:pPr>
      <w:rPr>
        <w:rFonts w:ascii="Symbol" w:hAnsi="Symbol" w:hint="default"/>
      </w:rPr>
    </w:lvl>
    <w:lvl w:ilvl="4" w:tplc="10090003" w:tentative="1">
      <w:start w:val="1"/>
      <w:numFmt w:val="bullet"/>
      <w:lvlText w:val="o"/>
      <w:lvlJc w:val="left"/>
      <w:pPr>
        <w:ind w:left="3780" w:hanging="360"/>
      </w:pPr>
      <w:rPr>
        <w:rFonts w:ascii="Courier New" w:hAnsi="Courier New" w:cs="Courier New" w:hint="default"/>
      </w:rPr>
    </w:lvl>
    <w:lvl w:ilvl="5" w:tplc="10090005" w:tentative="1">
      <w:start w:val="1"/>
      <w:numFmt w:val="bullet"/>
      <w:lvlText w:val=""/>
      <w:lvlJc w:val="left"/>
      <w:pPr>
        <w:ind w:left="4500" w:hanging="360"/>
      </w:pPr>
      <w:rPr>
        <w:rFonts w:ascii="Wingdings" w:hAnsi="Wingdings" w:hint="default"/>
      </w:rPr>
    </w:lvl>
    <w:lvl w:ilvl="6" w:tplc="10090001" w:tentative="1">
      <w:start w:val="1"/>
      <w:numFmt w:val="bullet"/>
      <w:lvlText w:val=""/>
      <w:lvlJc w:val="left"/>
      <w:pPr>
        <w:ind w:left="5220" w:hanging="360"/>
      </w:pPr>
      <w:rPr>
        <w:rFonts w:ascii="Symbol" w:hAnsi="Symbol" w:hint="default"/>
      </w:rPr>
    </w:lvl>
    <w:lvl w:ilvl="7" w:tplc="10090003" w:tentative="1">
      <w:start w:val="1"/>
      <w:numFmt w:val="bullet"/>
      <w:lvlText w:val="o"/>
      <w:lvlJc w:val="left"/>
      <w:pPr>
        <w:ind w:left="5940" w:hanging="360"/>
      </w:pPr>
      <w:rPr>
        <w:rFonts w:ascii="Courier New" w:hAnsi="Courier New" w:cs="Courier New" w:hint="default"/>
      </w:rPr>
    </w:lvl>
    <w:lvl w:ilvl="8" w:tplc="10090005" w:tentative="1">
      <w:start w:val="1"/>
      <w:numFmt w:val="bullet"/>
      <w:lvlText w:val=""/>
      <w:lvlJc w:val="left"/>
      <w:pPr>
        <w:ind w:left="6660" w:hanging="360"/>
      </w:pPr>
      <w:rPr>
        <w:rFonts w:ascii="Wingdings" w:hAnsi="Wingdings" w:hint="default"/>
      </w:rPr>
    </w:lvl>
  </w:abstractNum>
  <w:abstractNum w:abstractNumId="2" w15:restartNumberingAfterBreak="0">
    <w:nsid w:val="4C842382"/>
    <w:multiLevelType w:val="hybridMultilevel"/>
    <w:tmpl w:val="903AA182"/>
    <w:lvl w:ilvl="0" w:tplc="1009000B">
      <w:start w:val="1"/>
      <w:numFmt w:val="bullet"/>
      <w:lvlText w:val=""/>
      <w:lvlJc w:val="left"/>
      <w:pPr>
        <w:ind w:left="900" w:hanging="360"/>
      </w:pPr>
      <w:rPr>
        <w:rFonts w:ascii="Wingdings" w:hAnsi="Wingdings" w:hint="default"/>
      </w:rPr>
    </w:lvl>
    <w:lvl w:ilvl="1" w:tplc="10090003" w:tentative="1">
      <w:start w:val="1"/>
      <w:numFmt w:val="bullet"/>
      <w:lvlText w:val="o"/>
      <w:lvlJc w:val="left"/>
      <w:pPr>
        <w:ind w:left="1620" w:hanging="360"/>
      </w:pPr>
      <w:rPr>
        <w:rFonts w:ascii="Courier New" w:hAnsi="Courier New" w:cs="Courier New" w:hint="default"/>
      </w:rPr>
    </w:lvl>
    <w:lvl w:ilvl="2" w:tplc="10090005" w:tentative="1">
      <w:start w:val="1"/>
      <w:numFmt w:val="bullet"/>
      <w:lvlText w:val=""/>
      <w:lvlJc w:val="left"/>
      <w:pPr>
        <w:ind w:left="2340" w:hanging="360"/>
      </w:pPr>
      <w:rPr>
        <w:rFonts w:ascii="Wingdings" w:hAnsi="Wingdings" w:hint="default"/>
      </w:rPr>
    </w:lvl>
    <w:lvl w:ilvl="3" w:tplc="10090001" w:tentative="1">
      <w:start w:val="1"/>
      <w:numFmt w:val="bullet"/>
      <w:lvlText w:val=""/>
      <w:lvlJc w:val="left"/>
      <w:pPr>
        <w:ind w:left="3060" w:hanging="360"/>
      </w:pPr>
      <w:rPr>
        <w:rFonts w:ascii="Symbol" w:hAnsi="Symbol" w:hint="default"/>
      </w:rPr>
    </w:lvl>
    <w:lvl w:ilvl="4" w:tplc="10090003" w:tentative="1">
      <w:start w:val="1"/>
      <w:numFmt w:val="bullet"/>
      <w:lvlText w:val="o"/>
      <w:lvlJc w:val="left"/>
      <w:pPr>
        <w:ind w:left="3780" w:hanging="360"/>
      </w:pPr>
      <w:rPr>
        <w:rFonts w:ascii="Courier New" w:hAnsi="Courier New" w:cs="Courier New" w:hint="default"/>
      </w:rPr>
    </w:lvl>
    <w:lvl w:ilvl="5" w:tplc="10090005" w:tentative="1">
      <w:start w:val="1"/>
      <w:numFmt w:val="bullet"/>
      <w:lvlText w:val=""/>
      <w:lvlJc w:val="left"/>
      <w:pPr>
        <w:ind w:left="4500" w:hanging="360"/>
      </w:pPr>
      <w:rPr>
        <w:rFonts w:ascii="Wingdings" w:hAnsi="Wingdings" w:hint="default"/>
      </w:rPr>
    </w:lvl>
    <w:lvl w:ilvl="6" w:tplc="10090001" w:tentative="1">
      <w:start w:val="1"/>
      <w:numFmt w:val="bullet"/>
      <w:lvlText w:val=""/>
      <w:lvlJc w:val="left"/>
      <w:pPr>
        <w:ind w:left="5220" w:hanging="360"/>
      </w:pPr>
      <w:rPr>
        <w:rFonts w:ascii="Symbol" w:hAnsi="Symbol" w:hint="default"/>
      </w:rPr>
    </w:lvl>
    <w:lvl w:ilvl="7" w:tplc="10090003" w:tentative="1">
      <w:start w:val="1"/>
      <w:numFmt w:val="bullet"/>
      <w:lvlText w:val="o"/>
      <w:lvlJc w:val="left"/>
      <w:pPr>
        <w:ind w:left="5940" w:hanging="360"/>
      </w:pPr>
      <w:rPr>
        <w:rFonts w:ascii="Courier New" w:hAnsi="Courier New" w:cs="Courier New" w:hint="default"/>
      </w:rPr>
    </w:lvl>
    <w:lvl w:ilvl="8" w:tplc="10090005" w:tentative="1">
      <w:start w:val="1"/>
      <w:numFmt w:val="bullet"/>
      <w:lvlText w:val=""/>
      <w:lvlJc w:val="left"/>
      <w:pPr>
        <w:ind w:left="6660" w:hanging="360"/>
      </w:pPr>
      <w:rPr>
        <w:rFonts w:ascii="Wingdings" w:hAnsi="Wingdings" w:hint="default"/>
      </w:rPr>
    </w:lvl>
  </w:abstractNum>
  <w:abstractNum w:abstractNumId="3" w15:restartNumberingAfterBreak="0">
    <w:nsid w:val="4D7E12BB"/>
    <w:multiLevelType w:val="hybridMultilevel"/>
    <w:tmpl w:val="61EAA8D6"/>
    <w:lvl w:ilvl="0" w:tplc="10090001">
      <w:start w:val="1"/>
      <w:numFmt w:val="bullet"/>
      <w:lvlText w:val=""/>
      <w:lvlJc w:val="left"/>
      <w:pPr>
        <w:ind w:left="800" w:hanging="360"/>
      </w:pPr>
      <w:rPr>
        <w:rFonts w:ascii="Symbol" w:hAnsi="Symbol" w:hint="default"/>
      </w:rPr>
    </w:lvl>
    <w:lvl w:ilvl="1" w:tplc="10090003" w:tentative="1">
      <w:start w:val="1"/>
      <w:numFmt w:val="bullet"/>
      <w:lvlText w:val="o"/>
      <w:lvlJc w:val="left"/>
      <w:pPr>
        <w:ind w:left="1520" w:hanging="360"/>
      </w:pPr>
      <w:rPr>
        <w:rFonts w:ascii="Courier New" w:hAnsi="Courier New" w:cs="Courier New" w:hint="default"/>
      </w:rPr>
    </w:lvl>
    <w:lvl w:ilvl="2" w:tplc="10090005" w:tentative="1">
      <w:start w:val="1"/>
      <w:numFmt w:val="bullet"/>
      <w:lvlText w:val=""/>
      <w:lvlJc w:val="left"/>
      <w:pPr>
        <w:ind w:left="2240" w:hanging="360"/>
      </w:pPr>
      <w:rPr>
        <w:rFonts w:ascii="Wingdings" w:hAnsi="Wingdings" w:hint="default"/>
      </w:rPr>
    </w:lvl>
    <w:lvl w:ilvl="3" w:tplc="10090001" w:tentative="1">
      <w:start w:val="1"/>
      <w:numFmt w:val="bullet"/>
      <w:lvlText w:val=""/>
      <w:lvlJc w:val="left"/>
      <w:pPr>
        <w:ind w:left="2960" w:hanging="360"/>
      </w:pPr>
      <w:rPr>
        <w:rFonts w:ascii="Symbol" w:hAnsi="Symbol" w:hint="default"/>
      </w:rPr>
    </w:lvl>
    <w:lvl w:ilvl="4" w:tplc="10090003" w:tentative="1">
      <w:start w:val="1"/>
      <w:numFmt w:val="bullet"/>
      <w:lvlText w:val="o"/>
      <w:lvlJc w:val="left"/>
      <w:pPr>
        <w:ind w:left="3680" w:hanging="360"/>
      </w:pPr>
      <w:rPr>
        <w:rFonts w:ascii="Courier New" w:hAnsi="Courier New" w:cs="Courier New" w:hint="default"/>
      </w:rPr>
    </w:lvl>
    <w:lvl w:ilvl="5" w:tplc="10090005" w:tentative="1">
      <w:start w:val="1"/>
      <w:numFmt w:val="bullet"/>
      <w:lvlText w:val=""/>
      <w:lvlJc w:val="left"/>
      <w:pPr>
        <w:ind w:left="4400" w:hanging="360"/>
      </w:pPr>
      <w:rPr>
        <w:rFonts w:ascii="Wingdings" w:hAnsi="Wingdings" w:hint="default"/>
      </w:rPr>
    </w:lvl>
    <w:lvl w:ilvl="6" w:tplc="10090001" w:tentative="1">
      <w:start w:val="1"/>
      <w:numFmt w:val="bullet"/>
      <w:lvlText w:val=""/>
      <w:lvlJc w:val="left"/>
      <w:pPr>
        <w:ind w:left="5120" w:hanging="360"/>
      </w:pPr>
      <w:rPr>
        <w:rFonts w:ascii="Symbol" w:hAnsi="Symbol" w:hint="default"/>
      </w:rPr>
    </w:lvl>
    <w:lvl w:ilvl="7" w:tplc="10090003" w:tentative="1">
      <w:start w:val="1"/>
      <w:numFmt w:val="bullet"/>
      <w:lvlText w:val="o"/>
      <w:lvlJc w:val="left"/>
      <w:pPr>
        <w:ind w:left="5840" w:hanging="360"/>
      </w:pPr>
      <w:rPr>
        <w:rFonts w:ascii="Courier New" w:hAnsi="Courier New" w:cs="Courier New" w:hint="default"/>
      </w:rPr>
    </w:lvl>
    <w:lvl w:ilvl="8" w:tplc="10090005" w:tentative="1">
      <w:start w:val="1"/>
      <w:numFmt w:val="bullet"/>
      <w:lvlText w:val=""/>
      <w:lvlJc w:val="left"/>
      <w:pPr>
        <w:ind w:left="6560" w:hanging="360"/>
      </w:pPr>
      <w:rPr>
        <w:rFonts w:ascii="Wingdings" w:hAnsi="Wingdings" w:hint="default"/>
      </w:rPr>
    </w:lvl>
  </w:abstractNum>
  <w:abstractNum w:abstractNumId="4" w15:restartNumberingAfterBreak="0">
    <w:nsid w:val="566F2739"/>
    <w:multiLevelType w:val="hybridMultilevel"/>
    <w:tmpl w:val="1D4675C2"/>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588A6A87"/>
    <w:multiLevelType w:val="hybridMultilevel"/>
    <w:tmpl w:val="A76089E8"/>
    <w:lvl w:ilvl="0" w:tplc="1009000B">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15:restartNumberingAfterBreak="0">
    <w:nsid w:val="5D2179CB"/>
    <w:multiLevelType w:val="hybridMultilevel"/>
    <w:tmpl w:val="5A48D748"/>
    <w:lvl w:ilvl="0" w:tplc="7BB8ADBA">
      <w:start w:val="1"/>
      <w:numFmt w:val="decimal"/>
      <w:lvlText w:val="%1."/>
      <w:lvlJc w:val="left"/>
      <w:pPr>
        <w:ind w:left="540" w:hanging="361"/>
      </w:pPr>
      <w:rPr>
        <w:rFonts w:ascii="Calibri" w:eastAsia="Calibri" w:hAnsi="Calibri" w:cs="Calibri" w:hint="default"/>
        <w:spacing w:val="-4"/>
        <w:w w:val="100"/>
        <w:sz w:val="24"/>
        <w:szCs w:val="24"/>
      </w:rPr>
    </w:lvl>
    <w:lvl w:ilvl="1" w:tplc="34C60230">
      <w:numFmt w:val="bullet"/>
      <w:lvlText w:val=""/>
      <w:lvlJc w:val="left"/>
      <w:pPr>
        <w:ind w:left="900" w:hanging="360"/>
      </w:pPr>
      <w:rPr>
        <w:rFonts w:ascii="Symbol" w:eastAsia="Symbol" w:hAnsi="Symbol" w:cs="Symbol" w:hint="default"/>
        <w:w w:val="100"/>
        <w:sz w:val="24"/>
        <w:szCs w:val="24"/>
      </w:rPr>
    </w:lvl>
    <w:lvl w:ilvl="2" w:tplc="23BC4B3A">
      <w:numFmt w:val="bullet"/>
      <w:lvlText w:val="•"/>
      <w:lvlJc w:val="left"/>
      <w:pPr>
        <w:ind w:left="1997" w:hanging="360"/>
      </w:pPr>
      <w:rPr>
        <w:rFonts w:hint="default"/>
      </w:rPr>
    </w:lvl>
    <w:lvl w:ilvl="3" w:tplc="41F6E124">
      <w:numFmt w:val="bullet"/>
      <w:lvlText w:val="•"/>
      <w:lvlJc w:val="left"/>
      <w:pPr>
        <w:ind w:left="3095" w:hanging="360"/>
      </w:pPr>
      <w:rPr>
        <w:rFonts w:hint="default"/>
      </w:rPr>
    </w:lvl>
    <w:lvl w:ilvl="4" w:tplc="ABCC6174">
      <w:numFmt w:val="bullet"/>
      <w:lvlText w:val="•"/>
      <w:lvlJc w:val="left"/>
      <w:pPr>
        <w:ind w:left="4193" w:hanging="360"/>
      </w:pPr>
      <w:rPr>
        <w:rFonts w:hint="default"/>
      </w:rPr>
    </w:lvl>
    <w:lvl w:ilvl="5" w:tplc="0CB002AC">
      <w:numFmt w:val="bullet"/>
      <w:lvlText w:val="•"/>
      <w:lvlJc w:val="left"/>
      <w:pPr>
        <w:ind w:left="5291" w:hanging="360"/>
      </w:pPr>
      <w:rPr>
        <w:rFonts w:hint="default"/>
      </w:rPr>
    </w:lvl>
    <w:lvl w:ilvl="6" w:tplc="01601F20">
      <w:numFmt w:val="bullet"/>
      <w:lvlText w:val="•"/>
      <w:lvlJc w:val="left"/>
      <w:pPr>
        <w:ind w:left="6388" w:hanging="360"/>
      </w:pPr>
      <w:rPr>
        <w:rFonts w:hint="default"/>
      </w:rPr>
    </w:lvl>
    <w:lvl w:ilvl="7" w:tplc="73724F14">
      <w:numFmt w:val="bullet"/>
      <w:lvlText w:val="•"/>
      <w:lvlJc w:val="left"/>
      <w:pPr>
        <w:ind w:left="7486" w:hanging="360"/>
      </w:pPr>
      <w:rPr>
        <w:rFonts w:hint="default"/>
      </w:rPr>
    </w:lvl>
    <w:lvl w:ilvl="8" w:tplc="19EE309A">
      <w:numFmt w:val="bullet"/>
      <w:lvlText w:val="•"/>
      <w:lvlJc w:val="left"/>
      <w:pPr>
        <w:ind w:left="8584" w:hanging="360"/>
      </w:pPr>
      <w:rPr>
        <w:rFonts w:hint="default"/>
      </w:rPr>
    </w:lvl>
  </w:abstractNum>
  <w:abstractNum w:abstractNumId="7" w15:restartNumberingAfterBreak="0">
    <w:nsid w:val="5E2B55FC"/>
    <w:multiLevelType w:val="hybridMultilevel"/>
    <w:tmpl w:val="F5BE4598"/>
    <w:lvl w:ilvl="0" w:tplc="10090001">
      <w:start w:val="1"/>
      <w:numFmt w:val="bullet"/>
      <w:lvlText w:val=""/>
      <w:lvlJc w:val="left"/>
      <w:pPr>
        <w:ind w:left="800" w:hanging="360"/>
      </w:pPr>
      <w:rPr>
        <w:rFonts w:ascii="Symbol" w:hAnsi="Symbol" w:hint="default"/>
      </w:rPr>
    </w:lvl>
    <w:lvl w:ilvl="1" w:tplc="10090003" w:tentative="1">
      <w:start w:val="1"/>
      <w:numFmt w:val="bullet"/>
      <w:lvlText w:val="o"/>
      <w:lvlJc w:val="left"/>
      <w:pPr>
        <w:ind w:left="1520" w:hanging="360"/>
      </w:pPr>
      <w:rPr>
        <w:rFonts w:ascii="Courier New" w:hAnsi="Courier New" w:cs="Courier New" w:hint="default"/>
      </w:rPr>
    </w:lvl>
    <w:lvl w:ilvl="2" w:tplc="10090005" w:tentative="1">
      <w:start w:val="1"/>
      <w:numFmt w:val="bullet"/>
      <w:lvlText w:val=""/>
      <w:lvlJc w:val="left"/>
      <w:pPr>
        <w:ind w:left="2240" w:hanging="360"/>
      </w:pPr>
      <w:rPr>
        <w:rFonts w:ascii="Wingdings" w:hAnsi="Wingdings" w:hint="default"/>
      </w:rPr>
    </w:lvl>
    <w:lvl w:ilvl="3" w:tplc="10090001" w:tentative="1">
      <w:start w:val="1"/>
      <w:numFmt w:val="bullet"/>
      <w:lvlText w:val=""/>
      <w:lvlJc w:val="left"/>
      <w:pPr>
        <w:ind w:left="2960" w:hanging="360"/>
      </w:pPr>
      <w:rPr>
        <w:rFonts w:ascii="Symbol" w:hAnsi="Symbol" w:hint="default"/>
      </w:rPr>
    </w:lvl>
    <w:lvl w:ilvl="4" w:tplc="10090003" w:tentative="1">
      <w:start w:val="1"/>
      <w:numFmt w:val="bullet"/>
      <w:lvlText w:val="o"/>
      <w:lvlJc w:val="left"/>
      <w:pPr>
        <w:ind w:left="3680" w:hanging="360"/>
      </w:pPr>
      <w:rPr>
        <w:rFonts w:ascii="Courier New" w:hAnsi="Courier New" w:cs="Courier New" w:hint="default"/>
      </w:rPr>
    </w:lvl>
    <w:lvl w:ilvl="5" w:tplc="10090005" w:tentative="1">
      <w:start w:val="1"/>
      <w:numFmt w:val="bullet"/>
      <w:lvlText w:val=""/>
      <w:lvlJc w:val="left"/>
      <w:pPr>
        <w:ind w:left="4400" w:hanging="360"/>
      </w:pPr>
      <w:rPr>
        <w:rFonts w:ascii="Wingdings" w:hAnsi="Wingdings" w:hint="default"/>
      </w:rPr>
    </w:lvl>
    <w:lvl w:ilvl="6" w:tplc="10090001" w:tentative="1">
      <w:start w:val="1"/>
      <w:numFmt w:val="bullet"/>
      <w:lvlText w:val=""/>
      <w:lvlJc w:val="left"/>
      <w:pPr>
        <w:ind w:left="5120" w:hanging="360"/>
      </w:pPr>
      <w:rPr>
        <w:rFonts w:ascii="Symbol" w:hAnsi="Symbol" w:hint="default"/>
      </w:rPr>
    </w:lvl>
    <w:lvl w:ilvl="7" w:tplc="10090003" w:tentative="1">
      <w:start w:val="1"/>
      <w:numFmt w:val="bullet"/>
      <w:lvlText w:val="o"/>
      <w:lvlJc w:val="left"/>
      <w:pPr>
        <w:ind w:left="5840" w:hanging="360"/>
      </w:pPr>
      <w:rPr>
        <w:rFonts w:ascii="Courier New" w:hAnsi="Courier New" w:cs="Courier New" w:hint="default"/>
      </w:rPr>
    </w:lvl>
    <w:lvl w:ilvl="8" w:tplc="10090005" w:tentative="1">
      <w:start w:val="1"/>
      <w:numFmt w:val="bullet"/>
      <w:lvlText w:val=""/>
      <w:lvlJc w:val="left"/>
      <w:pPr>
        <w:ind w:left="6560" w:hanging="360"/>
      </w:pPr>
      <w:rPr>
        <w:rFonts w:ascii="Wingdings" w:hAnsi="Wingdings" w:hint="default"/>
      </w:rPr>
    </w:lvl>
  </w:abstractNum>
  <w:abstractNum w:abstractNumId="8" w15:restartNumberingAfterBreak="0">
    <w:nsid w:val="635E621D"/>
    <w:multiLevelType w:val="hybridMultilevel"/>
    <w:tmpl w:val="8944978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9" w15:restartNumberingAfterBreak="0">
    <w:nsid w:val="727B17D0"/>
    <w:multiLevelType w:val="hybridMultilevel"/>
    <w:tmpl w:val="11FAE5E4"/>
    <w:lvl w:ilvl="0" w:tplc="3FC4C68E">
      <w:start w:val="1"/>
      <w:numFmt w:val="bullet"/>
      <w:lvlText w:val=""/>
      <w:lvlJc w:val="left"/>
      <w:pPr>
        <w:ind w:left="36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7D6031E3"/>
    <w:multiLevelType w:val="hybridMultilevel"/>
    <w:tmpl w:val="1B46BDD0"/>
    <w:lvl w:ilvl="0" w:tplc="10090001">
      <w:start w:val="1"/>
      <w:numFmt w:val="bullet"/>
      <w:lvlText w:val=""/>
      <w:lvlJc w:val="left"/>
      <w:pPr>
        <w:ind w:left="800" w:hanging="360"/>
      </w:pPr>
      <w:rPr>
        <w:rFonts w:ascii="Symbol" w:hAnsi="Symbol" w:hint="default"/>
      </w:rPr>
    </w:lvl>
    <w:lvl w:ilvl="1" w:tplc="10090003" w:tentative="1">
      <w:start w:val="1"/>
      <w:numFmt w:val="bullet"/>
      <w:lvlText w:val="o"/>
      <w:lvlJc w:val="left"/>
      <w:pPr>
        <w:ind w:left="1520" w:hanging="360"/>
      </w:pPr>
      <w:rPr>
        <w:rFonts w:ascii="Courier New" w:hAnsi="Courier New" w:cs="Courier New" w:hint="default"/>
      </w:rPr>
    </w:lvl>
    <w:lvl w:ilvl="2" w:tplc="10090005" w:tentative="1">
      <w:start w:val="1"/>
      <w:numFmt w:val="bullet"/>
      <w:lvlText w:val=""/>
      <w:lvlJc w:val="left"/>
      <w:pPr>
        <w:ind w:left="2240" w:hanging="360"/>
      </w:pPr>
      <w:rPr>
        <w:rFonts w:ascii="Wingdings" w:hAnsi="Wingdings" w:hint="default"/>
      </w:rPr>
    </w:lvl>
    <w:lvl w:ilvl="3" w:tplc="10090001" w:tentative="1">
      <w:start w:val="1"/>
      <w:numFmt w:val="bullet"/>
      <w:lvlText w:val=""/>
      <w:lvlJc w:val="left"/>
      <w:pPr>
        <w:ind w:left="2960" w:hanging="360"/>
      </w:pPr>
      <w:rPr>
        <w:rFonts w:ascii="Symbol" w:hAnsi="Symbol" w:hint="default"/>
      </w:rPr>
    </w:lvl>
    <w:lvl w:ilvl="4" w:tplc="10090003" w:tentative="1">
      <w:start w:val="1"/>
      <w:numFmt w:val="bullet"/>
      <w:lvlText w:val="o"/>
      <w:lvlJc w:val="left"/>
      <w:pPr>
        <w:ind w:left="3680" w:hanging="360"/>
      </w:pPr>
      <w:rPr>
        <w:rFonts w:ascii="Courier New" w:hAnsi="Courier New" w:cs="Courier New" w:hint="default"/>
      </w:rPr>
    </w:lvl>
    <w:lvl w:ilvl="5" w:tplc="10090005" w:tentative="1">
      <w:start w:val="1"/>
      <w:numFmt w:val="bullet"/>
      <w:lvlText w:val=""/>
      <w:lvlJc w:val="left"/>
      <w:pPr>
        <w:ind w:left="4400" w:hanging="360"/>
      </w:pPr>
      <w:rPr>
        <w:rFonts w:ascii="Wingdings" w:hAnsi="Wingdings" w:hint="default"/>
      </w:rPr>
    </w:lvl>
    <w:lvl w:ilvl="6" w:tplc="10090001" w:tentative="1">
      <w:start w:val="1"/>
      <w:numFmt w:val="bullet"/>
      <w:lvlText w:val=""/>
      <w:lvlJc w:val="left"/>
      <w:pPr>
        <w:ind w:left="5120" w:hanging="360"/>
      </w:pPr>
      <w:rPr>
        <w:rFonts w:ascii="Symbol" w:hAnsi="Symbol" w:hint="default"/>
      </w:rPr>
    </w:lvl>
    <w:lvl w:ilvl="7" w:tplc="10090003" w:tentative="1">
      <w:start w:val="1"/>
      <w:numFmt w:val="bullet"/>
      <w:lvlText w:val="o"/>
      <w:lvlJc w:val="left"/>
      <w:pPr>
        <w:ind w:left="5840" w:hanging="360"/>
      </w:pPr>
      <w:rPr>
        <w:rFonts w:ascii="Courier New" w:hAnsi="Courier New" w:cs="Courier New" w:hint="default"/>
      </w:rPr>
    </w:lvl>
    <w:lvl w:ilvl="8" w:tplc="10090005" w:tentative="1">
      <w:start w:val="1"/>
      <w:numFmt w:val="bullet"/>
      <w:lvlText w:val=""/>
      <w:lvlJc w:val="left"/>
      <w:pPr>
        <w:ind w:left="6560" w:hanging="360"/>
      </w:pPr>
      <w:rPr>
        <w:rFonts w:ascii="Wingdings" w:hAnsi="Wingdings" w:hint="default"/>
      </w:rPr>
    </w:lvl>
  </w:abstractNum>
  <w:num w:numId="1">
    <w:abstractNumId w:val="6"/>
  </w:num>
  <w:num w:numId="2">
    <w:abstractNumId w:val="2"/>
  </w:num>
  <w:num w:numId="3">
    <w:abstractNumId w:val="7"/>
  </w:num>
  <w:num w:numId="4">
    <w:abstractNumId w:val="3"/>
  </w:num>
  <w:num w:numId="5">
    <w:abstractNumId w:val="1"/>
  </w:num>
  <w:num w:numId="6">
    <w:abstractNumId w:val="5"/>
  </w:num>
  <w:num w:numId="7">
    <w:abstractNumId w:val="9"/>
  </w:num>
  <w:num w:numId="8">
    <w:abstractNumId w:val="8"/>
  </w:num>
  <w:num w:numId="9">
    <w:abstractNumId w:val="0"/>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768"/>
    <w:rsid w:val="00007E6F"/>
    <w:rsid w:val="0002367C"/>
    <w:rsid w:val="00033576"/>
    <w:rsid w:val="00045148"/>
    <w:rsid w:val="00071363"/>
    <w:rsid w:val="00076E3B"/>
    <w:rsid w:val="00095C8F"/>
    <w:rsid w:val="000D7350"/>
    <w:rsid w:val="000E72BF"/>
    <w:rsid w:val="00160CFF"/>
    <w:rsid w:val="001619DD"/>
    <w:rsid w:val="00171153"/>
    <w:rsid w:val="00182EB1"/>
    <w:rsid w:val="001B2D3C"/>
    <w:rsid w:val="001C718C"/>
    <w:rsid w:val="001F47B3"/>
    <w:rsid w:val="0020124B"/>
    <w:rsid w:val="002056E0"/>
    <w:rsid w:val="002171DC"/>
    <w:rsid w:val="00233A33"/>
    <w:rsid w:val="00233AA0"/>
    <w:rsid w:val="002459ED"/>
    <w:rsid w:val="0026033F"/>
    <w:rsid w:val="00295889"/>
    <w:rsid w:val="002A3608"/>
    <w:rsid w:val="002C638C"/>
    <w:rsid w:val="00312FA3"/>
    <w:rsid w:val="00316EF3"/>
    <w:rsid w:val="00323874"/>
    <w:rsid w:val="003364C9"/>
    <w:rsid w:val="00370776"/>
    <w:rsid w:val="00375267"/>
    <w:rsid w:val="00384D6A"/>
    <w:rsid w:val="0039329C"/>
    <w:rsid w:val="003B2618"/>
    <w:rsid w:val="003C5895"/>
    <w:rsid w:val="00431D49"/>
    <w:rsid w:val="00456E81"/>
    <w:rsid w:val="00471764"/>
    <w:rsid w:val="004743B0"/>
    <w:rsid w:val="004E1492"/>
    <w:rsid w:val="004F78AE"/>
    <w:rsid w:val="004F78D9"/>
    <w:rsid w:val="00503418"/>
    <w:rsid w:val="005136C3"/>
    <w:rsid w:val="00545615"/>
    <w:rsid w:val="00550CFF"/>
    <w:rsid w:val="005936B1"/>
    <w:rsid w:val="005C07D6"/>
    <w:rsid w:val="005F4F05"/>
    <w:rsid w:val="006241C6"/>
    <w:rsid w:val="00632CFF"/>
    <w:rsid w:val="00662881"/>
    <w:rsid w:val="00667671"/>
    <w:rsid w:val="0067122F"/>
    <w:rsid w:val="006852BE"/>
    <w:rsid w:val="00690A54"/>
    <w:rsid w:val="006B396D"/>
    <w:rsid w:val="006E1145"/>
    <w:rsid w:val="006F6C7A"/>
    <w:rsid w:val="0070562B"/>
    <w:rsid w:val="00720AFD"/>
    <w:rsid w:val="007303F0"/>
    <w:rsid w:val="00755413"/>
    <w:rsid w:val="0076431B"/>
    <w:rsid w:val="007815FB"/>
    <w:rsid w:val="007A1A75"/>
    <w:rsid w:val="007B70FC"/>
    <w:rsid w:val="007C6A01"/>
    <w:rsid w:val="007E0359"/>
    <w:rsid w:val="007F1C66"/>
    <w:rsid w:val="008037F4"/>
    <w:rsid w:val="00826352"/>
    <w:rsid w:val="00831B33"/>
    <w:rsid w:val="00847768"/>
    <w:rsid w:val="00856C82"/>
    <w:rsid w:val="00892D45"/>
    <w:rsid w:val="008B379F"/>
    <w:rsid w:val="008C4219"/>
    <w:rsid w:val="008C6519"/>
    <w:rsid w:val="008F220C"/>
    <w:rsid w:val="008F43F6"/>
    <w:rsid w:val="009144F1"/>
    <w:rsid w:val="00921FCC"/>
    <w:rsid w:val="00923970"/>
    <w:rsid w:val="00941974"/>
    <w:rsid w:val="00954AD7"/>
    <w:rsid w:val="009935F3"/>
    <w:rsid w:val="009A6571"/>
    <w:rsid w:val="00A078F1"/>
    <w:rsid w:val="00A813AD"/>
    <w:rsid w:val="00A833B3"/>
    <w:rsid w:val="00A907F4"/>
    <w:rsid w:val="00AA16D6"/>
    <w:rsid w:val="00AB25E2"/>
    <w:rsid w:val="00AC2C35"/>
    <w:rsid w:val="00AE3388"/>
    <w:rsid w:val="00AF49E3"/>
    <w:rsid w:val="00B21093"/>
    <w:rsid w:val="00B3005A"/>
    <w:rsid w:val="00B330E6"/>
    <w:rsid w:val="00B4512A"/>
    <w:rsid w:val="00B6120E"/>
    <w:rsid w:val="00B629C7"/>
    <w:rsid w:val="00B87FE3"/>
    <w:rsid w:val="00B90446"/>
    <w:rsid w:val="00B920ED"/>
    <w:rsid w:val="00BA2DF3"/>
    <w:rsid w:val="00BA4EB9"/>
    <w:rsid w:val="00BD7F2C"/>
    <w:rsid w:val="00C578AC"/>
    <w:rsid w:val="00C70BDC"/>
    <w:rsid w:val="00CA380E"/>
    <w:rsid w:val="00CC3858"/>
    <w:rsid w:val="00CF46F3"/>
    <w:rsid w:val="00CF538D"/>
    <w:rsid w:val="00D47A9C"/>
    <w:rsid w:val="00D81E9E"/>
    <w:rsid w:val="00D96503"/>
    <w:rsid w:val="00DB1BA8"/>
    <w:rsid w:val="00DD543B"/>
    <w:rsid w:val="00DF01E3"/>
    <w:rsid w:val="00E0357F"/>
    <w:rsid w:val="00E141D7"/>
    <w:rsid w:val="00E14E8C"/>
    <w:rsid w:val="00E25F22"/>
    <w:rsid w:val="00E81C24"/>
    <w:rsid w:val="00E95080"/>
    <w:rsid w:val="00EA4DFB"/>
    <w:rsid w:val="00EC4A58"/>
    <w:rsid w:val="00EF79E5"/>
    <w:rsid w:val="00F12B36"/>
    <w:rsid w:val="00F14C95"/>
    <w:rsid w:val="00F164D1"/>
    <w:rsid w:val="00F2036C"/>
    <w:rsid w:val="00F34FB0"/>
    <w:rsid w:val="00F4602C"/>
    <w:rsid w:val="00FC25FD"/>
    <w:rsid w:val="00FC6D4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52156CB"/>
  <w15:docId w15:val="{68E02373-1058-4C23-84D7-45ABB81B9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158"/>
      <w:ind w:left="180"/>
      <w:outlineLvl w:val="0"/>
    </w:pPr>
    <w:rPr>
      <w:b/>
      <w:bCs/>
      <w:sz w:val="24"/>
      <w:szCs w:val="24"/>
    </w:rPr>
  </w:style>
  <w:style w:type="paragraph" w:styleId="Heading2">
    <w:name w:val="heading 2"/>
    <w:basedOn w:val="Normal"/>
    <w:next w:val="Normal"/>
    <w:link w:val="Heading2Char"/>
    <w:uiPriority w:val="9"/>
    <w:semiHidden/>
    <w:unhideWhenUsed/>
    <w:qFormat/>
    <w:rsid w:val="00923970"/>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57"/>
      <w:ind w:left="540" w:hanging="360"/>
    </w:pPr>
  </w:style>
  <w:style w:type="paragraph" w:customStyle="1" w:styleId="TableParagraph">
    <w:name w:val="Table Paragraph"/>
    <w:basedOn w:val="Normal"/>
    <w:uiPriority w:val="1"/>
    <w:qFormat/>
    <w:pPr>
      <w:spacing w:before="18"/>
      <w:ind w:left="144"/>
    </w:pPr>
  </w:style>
  <w:style w:type="table" w:styleId="TableGrid">
    <w:name w:val="Table Grid"/>
    <w:basedOn w:val="TableNormal"/>
    <w:uiPriority w:val="39"/>
    <w:rsid w:val="001B2D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B2D3C"/>
    <w:rPr>
      <w:color w:val="0000FF" w:themeColor="hyperlink"/>
      <w:u w:val="single"/>
    </w:rPr>
  </w:style>
  <w:style w:type="paragraph" w:styleId="Header">
    <w:name w:val="header"/>
    <w:basedOn w:val="Normal"/>
    <w:link w:val="HeaderChar"/>
    <w:uiPriority w:val="99"/>
    <w:unhideWhenUsed/>
    <w:rsid w:val="00B87FE3"/>
    <w:pPr>
      <w:tabs>
        <w:tab w:val="center" w:pos="4680"/>
        <w:tab w:val="right" w:pos="9360"/>
      </w:tabs>
    </w:pPr>
  </w:style>
  <w:style w:type="character" w:customStyle="1" w:styleId="HeaderChar">
    <w:name w:val="Header Char"/>
    <w:basedOn w:val="DefaultParagraphFont"/>
    <w:link w:val="Header"/>
    <w:uiPriority w:val="99"/>
    <w:rsid w:val="00B87FE3"/>
    <w:rPr>
      <w:rFonts w:ascii="Calibri" w:eastAsia="Calibri" w:hAnsi="Calibri" w:cs="Calibri"/>
    </w:rPr>
  </w:style>
  <w:style w:type="paragraph" w:styleId="Footer">
    <w:name w:val="footer"/>
    <w:basedOn w:val="Normal"/>
    <w:link w:val="FooterChar"/>
    <w:uiPriority w:val="99"/>
    <w:unhideWhenUsed/>
    <w:rsid w:val="00B87FE3"/>
    <w:pPr>
      <w:tabs>
        <w:tab w:val="center" w:pos="4680"/>
        <w:tab w:val="right" w:pos="9360"/>
      </w:tabs>
    </w:pPr>
  </w:style>
  <w:style w:type="character" w:customStyle="1" w:styleId="FooterChar">
    <w:name w:val="Footer Char"/>
    <w:basedOn w:val="DefaultParagraphFont"/>
    <w:link w:val="Footer"/>
    <w:uiPriority w:val="99"/>
    <w:rsid w:val="00B87FE3"/>
    <w:rPr>
      <w:rFonts w:ascii="Calibri" w:eastAsia="Calibri" w:hAnsi="Calibri" w:cs="Calibri"/>
    </w:rPr>
  </w:style>
  <w:style w:type="character" w:styleId="FollowedHyperlink">
    <w:name w:val="FollowedHyperlink"/>
    <w:basedOn w:val="DefaultParagraphFont"/>
    <w:uiPriority w:val="99"/>
    <w:semiHidden/>
    <w:unhideWhenUsed/>
    <w:rsid w:val="001F47B3"/>
    <w:rPr>
      <w:color w:val="800080" w:themeColor="followedHyperlink"/>
      <w:u w:val="single"/>
    </w:rPr>
  </w:style>
  <w:style w:type="paragraph" w:styleId="Title">
    <w:name w:val="Title"/>
    <w:basedOn w:val="Normal"/>
    <w:next w:val="Normal"/>
    <w:link w:val="TitleChar"/>
    <w:uiPriority w:val="10"/>
    <w:qFormat/>
    <w:rsid w:val="00BD7F2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D7F2C"/>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semiHidden/>
    <w:rsid w:val="00923970"/>
    <w:rPr>
      <w:rFonts w:asciiTheme="majorHAnsi" w:eastAsiaTheme="majorEastAsia" w:hAnsiTheme="majorHAnsi" w:cstheme="majorBidi"/>
      <w:color w:val="365F91" w:themeColor="accent1" w:themeShade="BF"/>
      <w:sz w:val="26"/>
      <w:szCs w:val="26"/>
    </w:rPr>
  </w:style>
  <w:style w:type="character" w:styleId="IntenseEmphasis">
    <w:name w:val="Intense Emphasis"/>
    <w:basedOn w:val="DefaultParagraphFont"/>
    <w:uiPriority w:val="21"/>
    <w:qFormat/>
    <w:rsid w:val="00667671"/>
    <w:rPr>
      <w:i/>
      <w:iCs/>
      <w:color w:val="4F81BD" w:themeColor="accent1"/>
    </w:rPr>
  </w:style>
  <w:style w:type="paragraph" w:styleId="Quote">
    <w:name w:val="Quote"/>
    <w:basedOn w:val="Normal"/>
    <w:next w:val="Normal"/>
    <w:link w:val="QuoteChar"/>
    <w:uiPriority w:val="29"/>
    <w:qFormat/>
    <w:rsid w:val="00095C8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095C8F"/>
    <w:rPr>
      <w:rFonts w:ascii="Calibri" w:eastAsia="Calibri" w:hAnsi="Calibri" w:cs="Calibri"/>
      <w:i/>
      <w:iCs/>
      <w:color w:val="404040" w:themeColor="text1" w:themeTint="BF"/>
    </w:rPr>
  </w:style>
  <w:style w:type="paragraph" w:styleId="BalloonText">
    <w:name w:val="Balloon Text"/>
    <w:basedOn w:val="Normal"/>
    <w:link w:val="BalloonTextChar"/>
    <w:uiPriority w:val="99"/>
    <w:semiHidden/>
    <w:unhideWhenUsed/>
    <w:rsid w:val="00431D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1D49"/>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00756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sshrc-crsh.gc.ca/funding-financement/apply-demande/background-renseignements/selecting_agency-choisir_organisme_subventionnaire-eng.aspx" TargetMode="External"/><Relationship Id="rId13" Type="http://schemas.openxmlformats.org/officeDocument/2006/relationships/hyperlink" Target="http://www.nserc-crsng.gc.ca/Professors-Professeurs/FinancialAdminGuide-GuideAdminFinancier/FundsUse-UtilisationSubventions_eng.asp" TargetMode="External"/><Relationship Id="rId3" Type="http://schemas.openxmlformats.org/officeDocument/2006/relationships/settings" Target="settings.xml"/><Relationship Id="rId7" Type="http://schemas.openxmlformats.org/officeDocument/2006/relationships/hyperlink" Target="http://www.sshrc-crsh.gc.ca/funding-financement/policies-politiques/effective_research_training-formation_en_recherche_efficace-eng.aspx" TargetMode="External"/><Relationship Id="rId12" Type="http://schemas.openxmlformats.org/officeDocument/2006/relationships/hyperlink" Target="http://www.science.gc.ca/eic/site/063.nsf/eng/h_56B87BE5.html?OpenDocumen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esearch@concordia.ab.ca" TargetMode="External"/><Relationship Id="rId5" Type="http://schemas.openxmlformats.org/officeDocument/2006/relationships/footnotes" Target="footnotes.xml"/><Relationship Id="rId15" Type="http://schemas.openxmlformats.org/officeDocument/2006/relationships/hyperlink" Target="mailto:research@concordia.ab.ca"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www.nserc-crsng.gc.ca/Professors-Professeurs/FinancialAdminGuide-GuideAdminFinancier/FundsUse-UtilisationSubventions_eng.as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2006</Words>
  <Characters>12819</Characters>
  <Application>Microsoft Office Word</Application>
  <DocSecurity>0</DocSecurity>
  <Lines>320</Lines>
  <Paragraphs>290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Angeles Hernandez Correa</dc:creator>
  <cp:lastModifiedBy>Lainna</cp:lastModifiedBy>
  <cp:revision>2</cp:revision>
  <cp:lastPrinted>2019-03-21T20:12:00Z</cp:lastPrinted>
  <dcterms:created xsi:type="dcterms:W3CDTF">2019-03-21T20:56:00Z</dcterms:created>
  <dcterms:modified xsi:type="dcterms:W3CDTF">2019-03-21T20:56:00Z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2017-08-15T00:00:00Z</vt:filetime>
  </property>
  <property fmtid="{D5CDD505-2E9C-101B-9397-08002B2CF9AE}" pid="3" name="Creator">
    <vt:lpwstr>Microsoft® Word 2013</vt:lpwstr>
  </property>
  <property fmtid="{D5CDD505-2E9C-101B-9397-08002B2CF9AE}" pid="4" name="LastSaved">
    <vt:filetime>2018-04-25T00:00:00Z</vt:filetime>
  </property>
</Properties>
</file>