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15" w:rsidRPr="008C14C5" w:rsidRDefault="00DC3715" w:rsidP="00DC3715">
      <w:pPr>
        <w:pStyle w:val="Heading1"/>
        <w:spacing w:before="0"/>
        <w:ind w:left="0" w:firstLine="440"/>
        <w:rPr>
          <w:rFonts w:ascii="Times New Roman"/>
          <w:b w:val="0"/>
          <w:bCs w:val="0"/>
          <w:sz w:val="17"/>
          <w:lang w:val="en-CA"/>
        </w:rPr>
      </w:pPr>
    </w:p>
    <w:p w:rsidR="00DC3715" w:rsidRDefault="00DC3715" w:rsidP="00DC3715">
      <w:pPr>
        <w:pStyle w:val="Heading1"/>
        <w:spacing w:before="0"/>
        <w:ind w:left="0" w:firstLine="440"/>
      </w:pPr>
    </w:p>
    <w:p w:rsidR="00DC3715" w:rsidRPr="003C5206" w:rsidRDefault="00DC3715" w:rsidP="00DC3715">
      <w:pPr>
        <w:pStyle w:val="Heading1"/>
        <w:spacing w:before="0"/>
        <w:ind w:left="0" w:firstLine="440"/>
        <w:rPr>
          <w:sz w:val="32"/>
          <w:szCs w:val="32"/>
        </w:rPr>
      </w:pPr>
      <w:r w:rsidRPr="003C5206">
        <w:rPr>
          <w:sz w:val="32"/>
          <w:szCs w:val="32"/>
        </w:rPr>
        <w:t>Application Guidelines</w:t>
      </w:r>
    </w:p>
    <w:p w:rsidR="00DC3715" w:rsidRPr="003C5206" w:rsidRDefault="00DC3715" w:rsidP="00DC3715">
      <w:pPr>
        <w:pStyle w:val="Heading1"/>
        <w:spacing w:before="0"/>
        <w:ind w:left="0" w:firstLine="440"/>
        <w:rPr>
          <w:color w:val="C00000"/>
          <w:sz w:val="32"/>
          <w:szCs w:val="32"/>
        </w:rPr>
      </w:pPr>
      <w:r w:rsidRPr="003C5206">
        <w:rPr>
          <w:color w:val="C00000"/>
          <w:sz w:val="32"/>
          <w:szCs w:val="32"/>
        </w:rPr>
        <w:t>Impact Grants</w:t>
      </w:r>
    </w:p>
    <w:p w:rsidR="00DC3715" w:rsidRDefault="00DC3715" w:rsidP="00DC3715">
      <w:pPr>
        <w:pStyle w:val="Heading1"/>
        <w:spacing w:before="0"/>
        <w:ind w:left="0" w:firstLine="440"/>
      </w:pPr>
    </w:p>
    <w:tbl>
      <w:tblPr>
        <w:tblStyle w:val="TableGrid"/>
        <w:tblW w:w="9923" w:type="dxa"/>
        <w:jc w:val="center"/>
        <w:tblLook w:val="04A0" w:firstRow="1" w:lastRow="0" w:firstColumn="1" w:lastColumn="0" w:noHBand="0" w:noVBand="1"/>
      </w:tblPr>
      <w:tblGrid>
        <w:gridCol w:w="2552"/>
        <w:gridCol w:w="7371"/>
      </w:tblGrid>
      <w:tr w:rsidR="00DC3715" w:rsidTr="003C5206">
        <w:trPr>
          <w:jc w:val="center"/>
        </w:trPr>
        <w:tc>
          <w:tcPr>
            <w:tcW w:w="9923" w:type="dxa"/>
            <w:gridSpan w:val="2"/>
            <w:shd w:val="clear" w:color="auto" w:fill="548DD4" w:themeFill="text2" w:themeFillTint="99"/>
          </w:tcPr>
          <w:p w:rsidR="00DC3715" w:rsidRDefault="00DC3715" w:rsidP="003C5206">
            <w:pPr>
              <w:pStyle w:val="Heading1"/>
              <w:spacing w:before="0"/>
              <w:ind w:left="0"/>
              <w:jc w:val="center"/>
            </w:pPr>
            <w:r>
              <w:t>Overview</w:t>
            </w:r>
          </w:p>
        </w:tc>
      </w:tr>
      <w:tr w:rsidR="00DC3715" w:rsidTr="003C5206">
        <w:trPr>
          <w:jc w:val="center"/>
        </w:trPr>
        <w:tc>
          <w:tcPr>
            <w:tcW w:w="2552" w:type="dxa"/>
            <w:shd w:val="clear" w:color="auto" w:fill="B8CCE4" w:themeFill="accent1" w:themeFillTint="66"/>
          </w:tcPr>
          <w:p w:rsidR="00DC3715" w:rsidRDefault="00DC3715" w:rsidP="00DC3715">
            <w:pPr>
              <w:pStyle w:val="Heading1"/>
              <w:spacing w:before="0"/>
              <w:ind w:left="0"/>
            </w:pPr>
            <w:r>
              <w:t>Value</w:t>
            </w:r>
          </w:p>
        </w:tc>
        <w:tc>
          <w:tcPr>
            <w:tcW w:w="7371" w:type="dxa"/>
            <w:shd w:val="clear" w:color="auto" w:fill="B8CCE4" w:themeFill="accent1" w:themeFillTint="66"/>
          </w:tcPr>
          <w:p w:rsidR="00DC3715" w:rsidRPr="00DC3715" w:rsidRDefault="00DC3715" w:rsidP="00DC3715">
            <w:pPr>
              <w:pStyle w:val="Heading1"/>
              <w:spacing w:before="0"/>
              <w:ind w:left="0"/>
              <w:rPr>
                <w:b w:val="0"/>
              </w:rPr>
            </w:pPr>
            <w:r w:rsidRPr="00DC3715">
              <w:rPr>
                <w:b w:val="0"/>
              </w:rPr>
              <w:t>Maximum combined grants (Impact and Seed Grants) is $5000 per year.</w:t>
            </w:r>
          </w:p>
        </w:tc>
      </w:tr>
      <w:tr w:rsidR="00DC3715" w:rsidTr="003C5206">
        <w:trPr>
          <w:jc w:val="center"/>
        </w:trPr>
        <w:tc>
          <w:tcPr>
            <w:tcW w:w="2552" w:type="dxa"/>
            <w:shd w:val="clear" w:color="auto" w:fill="B8CCE4" w:themeFill="accent1" w:themeFillTint="66"/>
          </w:tcPr>
          <w:p w:rsidR="00DC3715" w:rsidRDefault="00DC3715" w:rsidP="00DC3715">
            <w:pPr>
              <w:pStyle w:val="Heading1"/>
              <w:spacing w:before="0"/>
              <w:ind w:left="0"/>
            </w:pPr>
            <w:r>
              <w:t>Term</w:t>
            </w:r>
          </w:p>
        </w:tc>
        <w:tc>
          <w:tcPr>
            <w:tcW w:w="7371" w:type="dxa"/>
            <w:shd w:val="clear" w:color="auto" w:fill="B8CCE4" w:themeFill="accent1" w:themeFillTint="66"/>
          </w:tcPr>
          <w:p w:rsidR="00DC3715" w:rsidRPr="00DC3715" w:rsidRDefault="00DC3715" w:rsidP="00DC3715">
            <w:pPr>
              <w:pStyle w:val="Heading1"/>
              <w:spacing w:before="0"/>
              <w:ind w:left="0"/>
              <w:rPr>
                <w:b w:val="0"/>
              </w:rPr>
            </w:pPr>
            <w:r>
              <w:rPr>
                <w:b w:val="0"/>
              </w:rPr>
              <w:t>1 year term</w:t>
            </w:r>
          </w:p>
        </w:tc>
      </w:tr>
      <w:tr w:rsidR="00DC3715" w:rsidTr="003C5206">
        <w:trPr>
          <w:jc w:val="center"/>
        </w:trPr>
        <w:tc>
          <w:tcPr>
            <w:tcW w:w="2552" w:type="dxa"/>
            <w:shd w:val="clear" w:color="auto" w:fill="B8CCE4" w:themeFill="accent1" w:themeFillTint="66"/>
          </w:tcPr>
          <w:p w:rsidR="00DC3715" w:rsidRDefault="00DC3715" w:rsidP="00DC3715">
            <w:pPr>
              <w:pStyle w:val="Heading1"/>
              <w:spacing w:before="0"/>
              <w:ind w:left="0"/>
            </w:pPr>
            <w:r>
              <w:t>Application Deadlines</w:t>
            </w:r>
          </w:p>
        </w:tc>
        <w:tc>
          <w:tcPr>
            <w:tcW w:w="7371" w:type="dxa"/>
            <w:shd w:val="clear" w:color="auto" w:fill="B8CCE4" w:themeFill="accent1" w:themeFillTint="66"/>
          </w:tcPr>
          <w:p w:rsidR="003C5206" w:rsidRPr="00DC3715" w:rsidRDefault="003C5206" w:rsidP="00683321">
            <w:pPr>
              <w:pStyle w:val="Heading1"/>
              <w:spacing w:before="0"/>
              <w:ind w:left="0"/>
              <w:rPr>
                <w:b w:val="0"/>
              </w:rPr>
            </w:pPr>
            <w:r>
              <w:rPr>
                <w:b w:val="0"/>
              </w:rPr>
              <w:t>October 1</w:t>
            </w:r>
            <w:r w:rsidR="00683321" w:rsidRPr="00683321">
              <w:rPr>
                <w:b w:val="0"/>
                <w:vertAlign w:val="superscript"/>
              </w:rPr>
              <w:t>st</w:t>
            </w:r>
            <w:r w:rsidR="00683321">
              <w:rPr>
                <w:b w:val="0"/>
              </w:rPr>
              <w:t xml:space="preserve"> </w:t>
            </w:r>
            <w:r>
              <w:rPr>
                <w:b w:val="0"/>
              </w:rPr>
              <w:t>| February 1</w:t>
            </w:r>
            <w:r w:rsidR="00683321" w:rsidRPr="00683321">
              <w:rPr>
                <w:b w:val="0"/>
                <w:vertAlign w:val="superscript"/>
              </w:rPr>
              <w:t>st</w:t>
            </w:r>
            <w:r w:rsidR="00683321">
              <w:rPr>
                <w:b w:val="0"/>
              </w:rPr>
              <w:t xml:space="preserve"> </w:t>
            </w:r>
            <w:r w:rsidR="009A4C97">
              <w:rPr>
                <w:b w:val="0"/>
              </w:rPr>
              <w:t>| May 15</w:t>
            </w:r>
            <w:r w:rsidR="00683321" w:rsidRPr="00683321">
              <w:rPr>
                <w:b w:val="0"/>
                <w:vertAlign w:val="superscript"/>
              </w:rPr>
              <w:t>th</w:t>
            </w:r>
            <w:r w:rsidR="00683321">
              <w:rPr>
                <w:b w:val="0"/>
              </w:rPr>
              <w:t xml:space="preserve"> </w:t>
            </w:r>
          </w:p>
        </w:tc>
      </w:tr>
      <w:tr w:rsidR="003C5206" w:rsidTr="003C5206">
        <w:trPr>
          <w:jc w:val="center"/>
        </w:trPr>
        <w:tc>
          <w:tcPr>
            <w:tcW w:w="2552" w:type="dxa"/>
            <w:shd w:val="clear" w:color="auto" w:fill="B8CCE4" w:themeFill="accent1" w:themeFillTint="66"/>
          </w:tcPr>
          <w:p w:rsidR="003C5206" w:rsidRDefault="003C5206" w:rsidP="00DC3715">
            <w:pPr>
              <w:pStyle w:val="Heading1"/>
              <w:spacing w:before="0"/>
              <w:ind w:left="0"/>
            </w:pPr>
            <w:r>
              <w:t>Results Announced</w:t>
            </w:r>
          </w:p>
        </w:tc>
        <w:tc>
          <w:tcPr>
            <w:tcW w:w="7371" w:type="dxa"/>
            <w:shd w:val="clear" w:color="auto" w:fill="B8CCE4" w:themeFill="accent1" w:themeFillTint="66"/>
          </w:tcPr>
          <w:p w:rsidR="003C5206" w:rsidRDefault="003C5206" w:rsidP="00DC3715">
            <w:pPr>
              <w:pStyle w:val="Heading1"/>
              <w:spacing w:before="0"/>
              <w:ind w:left="0"/>
              <w:rPr>
                <w:b w:val="0"/>
              </w:rPr>
            </w:pPr>
            <w:r>
              <w:rPr>
                <w:b w:val="0"/>
              </w:rPr>
              <w:t>3 weeks after deadline</w:t>
            </w:r>
          </w:p>
        </w:tc>
      </w:tr>
      <w:tr w:rsidR="003C5206" w:rsidTr="003C5206">
        <w:trPr>
          <w:jc w:val="center"/>
        </w:trPr>
        <w:tc>
          <w:tcPr>
            <w:tcW w:w="2552" w:type="dxa"/>
            <w:shd w:val="clear" w:color="auto" w:fill="B8CCE4" w:themeFill="accent1" w:themeFillTint="66"/>
          </w:tcPr>
          <w:p w:rsidR="003C5206" w:rsidRDefault="003C5206" w:rsidP="00DC3715">
            <w:pPr>
              <w:pStyle w:val="Heading1"/>
              <w:spacing w:before="0"/>
              <w:ind w:left="0"/>
            </w:pPr>
            <w:r>
              <w:t>How to Apply</w:t>
            </w:r>
          </w:p>
        </w:tc>
        <w:tc>
          <w:tcPr>
            <w:tcW w:w="7371" w:type="dxa"/>
            <w:shd w:val="clear" w:color="auto" w:fill="B8CCE4" w:themeFill="accent1" w:themeFillTint="66"/>
          </w:tcPr>
          <w:p w:rsidR="003C5206" w:rsidRDefault="003C5206" w:rsidP="00DC3715">
            <w:pPr>
              <w:pStyle w:val="Heading1"/>
              <w:spacing w:before="0"/>
              <w:ind w:left="0"/>
              <w:rPr>
                <w:b w:val="0"/>
              </w:rPr>
            </w:pPr>
            <w:r>
              <w:rPr>
                <w:b w:val="0"/>
              </w:rPr>
              <w:t xml:space="preserve">Email submission to </w:t>
            </w:r>
            <w:hyperlink r:id="rId7" w:history="1">
              <w:r w:rsidRPr="009A3F1E">
                <w:rPr>
                  <w:rStyle w:val="Hyperlink"/>
                  <w:b w:val="0"/>
                </w:rPr>
                <w:t>research@concordia.ab.ca</w:t>
              </w:r>
            </w:hyperlink>
          </w:p>
        </w:tc>
      </w:tr>
    </w:tbl>
    <w:p w:rsidR="00DC3715" w:rsidRDefault="00DC3715" w:rsidP="00DC3715">
      <w:pPr>
        <w:pStyle w:val="Heading1"/>
        <w:spacing w:before="0"/>
        <w:ind w:left="0" w:firstLine="440"/>
      </w:pPr>
    </w:p>
    <w:p w:rsidR="00DC3715" w:rsidRDefault="00DC3715" w:rsidP="003C5206">
      <w:pPr>
        <w:pStyle w:val="Heading1"/>
        <w:ind w:firstLine="440"/>
      </w:pPr>
      <w:r w:rsidRPr="00DC3715">
        <w:rPr>
          <w:b w:val="0"/>
        </w:rPr>
        <w:tab/>
      </w:r>
    </w:p>
    <w:p w:rsidR="00455FED" w:rsidRDefault="00E73246" w:rsidP="00DC3715">
      <w:pPr>
        <w:pStyle w:val="Heading1"/>
        <w:spacing w:before="0"/>
        <w:ind w:left="0" w:firstLine="440"/>
      </w:pPr>
      <w:r>
        <w:t>Description</w:t>
      </w:r>
    </w:p>
    <w:p w:rsidR="00455FED" w:rsidRDefault="00E73246">
      <w:pPr>
        <w:pStyle w:val="BodyText"/>
        <w:ind w:left="440" w:right="552"/>
      </w:pPr>
      <w:r>
        <w:t xml:space="preserve">The Concordia University </w:t>
      </w:r>
      <w:r>
        <w:rPr>
          <w:color w:val="C0504D"/>
        </w:rPr>
        <w:t xml:space="preserve">Impact Grants </w:t>
      </w:r>
      <w:r>
        <w:t xml:space="preserve">support short-term, targeted knowledge mobilization activities. </w:t>
      </w:r>
      <w:r>
        <w:rPr>
          <w:color w:val="C0504D"/>
        </w:rPr>
        <w:t xml:space="preserve">Impact Grants </w:t>
      </w:r>
      <w:r>
        <w:t xml:space="preserve">are intended to facilitate and enable the movement of research knowledge into outcomes and impact. </w:t>
      </w:r>
    </w:p>
    <w:p w:rsidR="00455FED" w:rsidRDefault="00E73246">
      <w:pPr>
        <w:pStyle w:val="BodyText"/>
        <w:spacing w:before="120"/>
        <w:ind w:left="440" w:right="539"/>
      </w:pPr>
      <w:r>
        <w:t xml:space="preserve">Knowledge mobilization is understood as the reciprocal and complementary flow and uptake of research knowledge between researchers, knowledge brokers and knowledge users within and beyond academia, </w:t>
      </w:r>
      <w:r w:rsidR="00A6122A">
        <w:t>to</w:t>
      </w:r>
      <w:r>
        <w:t xml:space="preserve"> benefit others and create positive impacts on society. Supporting Knowledge Mobilization activities enhances researcher competitiveness in Tri-Agency and other external funding opportunities and helps build a vibrant research culture at Concordia University of Edmonton.</w:t>
      </w:r>
    </w:p>
    <w:p w:rsidR="00455FED" w:rsidRDefault="00E73246">
      <w:pPr>
        <w:pStyle w:val="BodyText"/>
        <w:spacing w:before="120"/>
        <w:ind w:left="440" w:right="552"/>
      </w:pPr>
      <w:r>
        <w:t xml:space="preserve">Impact Grants will provide funds </w:t>
      </w:r>
      <w:r w:rsidR="00A6122A">
        <w:t xml:space="preserve">for </w:t>
      </w:r>
      <w:r>
        <w:t xml:space="preserve">Knowledge Mobilization activities such as </w:t>
      </w:r>
      <w:r w:rsidR="00EB220E">
        <w:t>conference p</w:t>
      </w:r>
      <w:r>
        <w:t>resentations</w:t>
      </w:r>
      <w:r w:rsidR="00EB220E">
        <w:t xml:space="preserve">, </w:t>
      </w:r>
      <w:r>
        <w:t xml:space="preserve">workshops, artistic exhibits and juried performances, </w:t>
      </w:r>
      <w:r w:rsidRPr="00A6122A">
        <w:t>interactive technologies</w:t>
      </w:r>
      <w:r>
        <w:t>, oral histories, digital and video technologies, films, commissioned reports, knowledge syntheses, and other forms of connecting and disseminating research knowledge to inform the research and practice of others in the discipline</w:t>
      </w:r>
      <w:r w:rsidR="00EB220E">
        <w:t xml:space="preserve"> and beyond</w:t>
      </w:r>
      <w:r>
        <w:t xml:space="preserve">. </w:t>
      </w:r>
      <w:bookmarkStart w:id="0" w:name="_GoBack"/>
      <w:bookmarkEnd w:id="0"/>
    </w:p>
    <w:p w:rsidR="00455FED" w:rsidRDefault="00E73246">
      <w:pPr>
        <w:pStyle w:val="Heading1"/>
        <w:spacing w:before="156"/>
        <w:ind w:left="440"/>
      </w:pPr>
      <w:r>
        <w:t>Value and Duration</w:t>
      </w:r>
    </w:p>
    <w:p w:rsidR="00455FED" w:rsidRDefault="00E73246">
      <w:pPr>
        <w:pStyle w:val="BodyText"/>
        <w:spacing w:before="184"/>
        <w:ind w:left="440" w:right="618"/>
        <w:jc w:val="both"/>
      </w:pPr>
      <w:r>
        <w:t>Once awarded, grant funds remain active for one year. After completion</w:t>
      </w:r>
      <w:r w:rsidR="00F7107B">
        <w:t xml:space="preserve"> of the activity</w:t>
      </w:r>
      <w:r>
        <w:t xml:space="preserve">, funds will </w:t>
      </w:r>
      <w:r w:rsidR="00A6122A">
        <w:t>expire,</w:t>
      </w:r>
      <w:r>
        <w:t xml:space="preserve"> and unused funds will be reclaimed. The maximum level of support</w:t>
      </w:r>
      <w:r w:rsidR="00207C51">
        <w:t xml:space="preserve"> is $5000 in combined grants (Impact Grants and Seed Grants) per year</w:t>
      </w:r>
      <w:r>
        <w:t xml:space="preserve">. </w:t>
      </w:r>
      <w:bookmarkStart w:id="1" w:name="_Hlk512592761"/>
      <w:r>
        <w:t>As the demand for funds normally far exceeds the funds available, not all meritorious proposals can b</w:t>
      </w:r>
      <w:r w:rsidR="003703EB">
        <w:t>e awarded</w:t>
      </w:r>
      <w:r>
        <w:t>.</w:t>
      </w:r>
    </w:p>
    <w:bookmarkEnd w:id="1"/>
    <w:p w:rsidR="00455FED" w:rsidRDefault="00455FED">
      <w:pPr>
        <w:jc w:val="both"/>
        <w:sectPr w:rsidR="00455FED">
          <w:headerReference w:type="default" r:id="rId8"/>
          <w:footerReference w:type="default" r:id="rId9"/>
          <w:type w:val="continuous"/>
          <w:pgSz w:w="12240" w:h="15840"/>
          <w:pgMar w:top="1580" w:right="560" w:bottom="660" w:left="640" w:header="458" w:footer="462" w:gutter="0"/>
          <w:pgNumType w:start="1"/>
          <w:cols w:space="720"/>
        </w:sectPr>
      </w:pPr>
    </w:p>
    <w:p w:rsidR="00455FED" w:rsidRDefault="00455FED">
      <w:pPr>
        <w:pStyle w:val="BodyText"/>
        <w:spacing w:before="5"/>
        <w:rPr>
          <w:sz w:val="16"/>
        </w:rPr>
      </w:pPr>
    </w:p>
    <w:p w:rsidR="00455FED" w:rsidRDefault="00E73246">
      <w:pPr>
        <w:pStyle w:val="Heading1"/>
        <w:spacing w:before="51"/>
      </w:pPr>
      <w:r>
        <w:t>Deadlines</w:t>
      </w:r>
    </w:p>
    <w:p w:rsidR="00207C51" w:rsidRDefault="00E73246" w:rsidP="00EF54D8">
      <w:pPr>
        <w:pStyle w:val="BodyText"/>
        <w:spacing w:before="181" w:line="292" w:lineRule="exact"/>
        <w:ind w:left="180" w:right="521"/>
      </w:pPr>
      <w:r>
        <w:t>The application submission deadline</w:t>
      </w:r>
      <w:r w:rsidR="003C5206">
        <w:t>s</w:t>
      </w:r>
      <w:r w:rsidR="00207C51">
        <w:t xml:space="preserve"> </w:t>
      </w:r>
      <w:r w:rsidR="003C5206">
        <w:t xml:space="preserve">are </w:t>
      </w:r>
      <w:r w:rsidR="00D76A05">
        <w:t xml:space="preserve">midnight </w:t>
      </w:r>
      <w:r w:rsidR="003C5206">
        <w:t>(Mountain time)</w:t>
      </w:r>
      <w:r w:rsidR="00EF54D8">
        <w:t>. If the deadline falls on a weekend or holiday, it will be extended to the next business day.</w:t>
      </w:r>
    </w:p>
    <w:p w:rsidR="00207C51" w:rsidRDefault="009A4C97" w:rsidP="00F504A8">
      <w:pPr>
        <w:pStyle w:val="BodyText"/>
        <w:numPr>
          <w:ilvl w:val="0"/>
          <w:numId w:val="2"/>
        </w:numPr>
        <w:spacing w:line="292" w:lineRule="exact"/>
        <w:ind w:left="896" w:right="522" w:hanging="357"/>
      </w:pPr>
      <w:r>
        <w:t>O</w:t>
      </w:r>
      <w:r w:rsidR="00207C51">
        <w:t>ctober 1</w:t>
      </w:r>
      <w:r w:rsidRPr="009A4C97">
        <w:rPr>
          <w:vertAlign w:val="superscript"/>
        </w:rPr>
        <w:t>st</w:t>
      </w:r>
      <w:r>
        <w:t xml:space="preserve"> </w:t>
      </w:r>
    </w:p>
    <w:p w:rsidR="00207C51" w:rsidRDefault="00207C51" w:rsidP="003C5206">
      <w:pPr>
        <w:pStyle w:val="BodyText"/>
        <w:numPr>
          <w:ilvl w:val="0"/>
          <w:numId w:val="2"/>
        </w:numPr>
        <w:spacing w:line="292" w:lineRule="exact"/>
        <w:ind w:left="896" w:right="522" w:hanging="357"/>
      </w:pPr>
      <w:r>
        <w:t>F</w:t>
      </w:r>
      <w:r w:rsidR="00E73246">
        <w:t>ebruary 1</w:t>
      </w:r>
      <w:r w:rsidR="009A4C97" w:rsidRPr="009A4C97">
        <w:rPr>
          <w:vertAlign w:val="superscript"/>
        </w:rPr>
        <w:t>st</w:t>
      </w:r>
      <w:r w:rsidR="009A4C97">
        <w:t xml:space="preserve"> </w:t>
      </w:r>
    </w:p>
    <w:p w:rsidR="009A4C97" w:rsidRDefault="009A4C97" w:rsidP="003C5206">
      <w:pPr>
        <w:pStyle w:val="BodyText"/>
        <w:numPr>
          <w:ilvl w:val="0"/>
          <w:numId w:val="2"/>
        </w:numPr>
        <w:spacing w:line="292" w:lineRule="exact"/>
        <w:ind w:left="896" w:right="522" w:hanging="357"/>
      </w:pPr>
      <w:r>
        <w:t>May 15</w:t>
      </w:r>
      <w:r w:rsidR="00683321">
        <w:rPr>
          <w:vertAlign w:val="superscript"/>
        </w:rPr>
        <w:t xml:space="preserve">th </w:t>
      </w:r>
    </w:p>
    <w:p w:rsidR="00EF54D8" w:rsidRPr="00EF54D8" w:rsidRDefault="00EF54D8" w:rsidP="00EF54D8">
      <w:pPr>
        <w:spacing w:before="181" w:line="292" w:lineRule="exact"/>
        <w:ind w:right="340"/>
        <w:rPr>
          <w:sz w:val="24"/>
          <w:szCs w:val="24"/>
        </w:rPr>
      </w:pPr>
      <w:r w:rsidRPr="00EF54D8">
        <w:rPr>
          <w:sz w:val="24"/>
          <w:szCs w:val="24"/>
        </w:rPr>
        <w:t>Late submissions will not be accepted, and incomplete applications will not be considered. Results will be announced within 3 weeks of the deadline;</w:t>
      </w:r>
      <w:r w:rsidRPr="008C6519">
        <w:t xml:space="preserve"> </w:t>
      </w:r>
      <w:r w:rsidRPr="00EF54D8">
        <w:rPr>
          <w:sz w:val="24"/>
          <w:szCs w:val="24"/>
        </w:rPr>
        <w:t>however, timelines may vary depending on the number of applications received</w:t>
      </w:r>
      <w:r>
        <w:rPr>
          <w:sz w:val="24"/>
          <w:szCs w:val="24"/>
        </w:rPr>
        <w:t>.</w:t>
      </w:r>
    </w:p>
    <w:p w:rsidR="00455FED" w:rsidRDefault="00E73246">
      <w:pPr>
        <w:pStyle w:val="Heading1"/>
        <w:spacing w:before="161"/>
      </w:pPr>
      <w:r>
        <w:t>Eligibility</w:t>
      </w:r>
    </w:p>
    <w:p w:rsidR="00455FED" w:rsidRDefault="00E73246" w:rsidP="00F5221A">
      <w:pPr>
        <w:pStyle w:val="BodyText"/>
        <w:spacing w:before="189" w:line="242" w:lineRule="auto"/>
        <w:ind w:left="180" w:right="535"/>
      </w:pPr>
      <w:r>
        <w:t>The primary applicant must be a full-time regular Concordia University of Edmonton faculty member at the time of application.</w:t>
      </w:r>
      <w:r w:rsidR="00F5221A">
        <w:t xml:space="preserve"> </w:t>
      </w:r>
      <w:r>
        <w:t xml:space="preserve">Research and Faculty Development Committee members may apply to the Impact Grant; however, they may </w:t>
      </w:r>
      <w:r w:rsidR="00B255B1">
        <w:t>not participate in the adjudication process.</w:t>
      </w:r>
    </w:p>
    <w:p w:rsidR="00455FED" w:rsidRDefault="00E73246">
      <w:pPr>
        <w:pStyle w:val="BodyText"/>
        <w:spacing w:before="122"/>
        <w:ind w:left="180" w:right="612"/>
      </w:pPr>
      <w:r>
        <w:t>Applicants who have received a</w:t>
      </w:r>
      <w:r w:rsidR="00207C51">
        <w:t xml:space="preserve"> previous </w:t>
      </w:r>
      <w:r>
        <w:t xml:space="preserve">Impact Grant but have failed to submit a </w:t>
      </w:r>
      <w:r w:rsidR="00F7107B">
        <w:t>F</w:t>
      </w:r>
      <w:r w:rsidRPr="00F7107B">
        <w:t xml:space="preserve">inal </w:t>
      </w:r>
      <w:r w:rsidR="00F7107B">
        <w:t>R</w:t>
      </w:r>
      <w:r w:rsidRPr="00F7107B">
        <w:t>eport</w:t>
      </w:r>
      <w:r>
        <w:t xml:space="preserve"> are not eligible to apply for another Impact Grant until they have submitted the report.</w:t>
      </w:r>
      <w:r w:rsidR="00F7107B">
        <w:t xml:space="preserve"> </w:t>
      </w:r>
    </w:p>
    <w:p w:rsidR="006B57C6" w:rsidRDefault="006B57C6" w:rsidP="006B57C6">
      <w:pPr>
        <w:pStyle w:val="Heading1"/>
        <w:spacing w:before="161"/>
      </w:pPr>
      <w:r>
        <w:t>Multiple Applications</w:t>
      </w:r>
    </w:p>
    <w:p w:rsidR="00594BFF" w:rsidRDefault="00594BFF" w:rsidP="00594BFF">
      <w:pPr>
        <w:pStyle w:val="BodyText"/>
        <w:spacing w:before="189" w:line="242" w:lineRule="auto"/>
        <w:ind w:left="180" w:right="535"/>
      </w:pPr>
      <w:r>
        <w:t xml:space="preserve">For each deadline, applicants </w:t>
      </w:r>
      <w:r w:rsidRPr="0067122F">
        <w:t xml:space="preserve">may apply for one </w:t>
      </w:r>
      <w:r>
        <w:t>Seed</w:t>
      </w:r>
      <w:r w:rsidRPr="0067122F">
        <w:t xml:space="preserve"> Grant and one </w:t>
      </w:r>
      <w:r>
        <w:t>Impact</w:t>
      </w:r>
      <w:r w:rsidRPr="0067122F">
        <w:t xml:space="preserve"> Grant (use </w:t>
      </w:r>
      <w:r>
        <w:t xml:space="preserve">the appropriate </w:t>
      </w:r>
      <w:r w:rsidRPr="0067122F">
        <w:t>application form</w:t>
      </w:r>
      <w:r>
        <w:t xml:space="preserve"> for each stream</w:t>
      </w:r>
      <w:r w:rsidR="00B922A8">
        <w:t>)</w:t>
      </w:r>
      <w:r>
        <w:t xml:space="preserve">. Applicants may not submit multiple applications </w:t>
      </w:r>
      <w:r w:rsidR="00B922A8">
        <w:t xml:space="preserve">to </w:t>
      </w:r>
      <w:r>
        <w:t>one particular stream. M</w:t>
      </w:r>
      <w:r w:rsidRPr="0067122F">
        <w:t xml:space="preserve">ultiple requests </w:t>
      </w:r>
      <w:r>
        <w:t>(</w:t>
      </w:r>
      <w:proofErr w:type="spellStart"/>
      <w:r>
        <w:t>eg</w:t>
      </w:r>
      <w:proofErr w:type="spellEnd"/>
      <w:r>
        <w:t xml:space="preserve">. multiple conferences) </w:t>
      </w:r>
      <w:r w:rsidRPr="0067122F">
        <w:t xml:space="preserve">on one application </w:t>
      </w:r>
      <w:r w:rsidR="00B922A8">
        <w:t xml:space="preserve">form </w:t>
      </w:r>
      <w:r w:rsidRPr="0067122F">
        <w:t>will NOT be considered</w:t>
      </w:r>
      <w:r>
        <w:t xml:space="preserve">. </w:t>
      </w:r>
      <w:r w:rsidR="00B922A8">
        <w:t>Researchers may only hold one Seed Grant and one Impact Grant per year.</w:t>
      </w:r>
    </w:p>
    <w:p w:rsidR="00455FED" w:rsidRDefault="00E73246">
      <w:pPr>
        <w:pStyle w:val="Heading1"/>
        <w:spacing w:before="158"/>
      </w:pPr>
      <w:r>
        <w:t>Reviewers</w:t>
      </w:r>
    </w:p>
    <w:p w:rsidR="00455FED" w:rsidRDefault="00E73246">
      <w:pPr>
        <w:pStyle w:val="BodyText"/>
        <w:spacing w:before="160"/>
        <w:ind w:left="180" w:right="573"/>
      </w:pPr>
      <w:r>
        <w:t>Applications are assessed by the Research and Faculty Development Committee</w:t>
      </w:r>
      <w:r w:rsidR="00F7107B">
        <w:t xml:space="preserve">, </w:t>
      </w:r>
      <w:r>
        <w:t xml:space="preserve">composed of continuing faculty members from across </w:t>
      </w:r>
      <w:r w:rsidR="00F7107B">
        <w:t xml:space="preserve">disciplines. </w:t>
      </w:r>
      <w:r>
        <w:t>Each faculty will have representation on the committee. The committee provide</w:t>
      </w:r>
      <w:r w:rsidR="007F4A20">
        <w:t>s</w:t>
      </w:r>
      <w:r>
        <w:t xml:space="preserve"> a cross-section of research experience, methodological approaches, and disciplinary knowledge. Applications should be crafted so that they can be reasonably evaluated by a multidisciplinary committee.</w:t>
      </w:r>
    </w:p>
    <w:p w:rsidR="00455FED" w:rsidRDefault="00E73246">
      <w:pPr>
        <w:pStyle w:val="Heading1"/>
        <w:spacing w:before="155"/>
      </w:pPr>
      <w:r>
        <w:t>Adjudication</w:t>
      </w:r>
    </w:p>
    <w:p w:rsidR="003703EB" w:rsidRDefault="00E73246" w:rsidP="003703EB">
      <w:pPr>
        <w:pStyle w:val="BodyText"/>
        <w:spacing w:before="194"/>
        <w:ind w:left="180" w:right="434"/>
      </w:pPr>
      <w:r>
        <w:t xml:space="preserve">Applications are adjudicated, and available funds are awarded, through a competitive process. Applications are evaluated through a single-stage committee review process. Each reviewer will read and score all applications based upon the Evaluation Criteria. Scores will then be </w:t>
      </w:r>
      <w:r w:rsidR="00207C51">
        <w:t>averaged,</w:t>
      </w:r>
      <w:r>
        <w:t xml:space="preserve"> and applications ranked. Th</w:t>
      </w:r>
      <w:r w:rsidR="00207C51">
        <w:t xml:space="preserve">is process will </w:t>
      </w:r>
      <w:r>
        <w:t xml:space="preserve">determine which applications will be selected for funding. Applications will be evaluated based upon </w:t>
      </w:r>
      <w:r w:rsidR="00233357">
        <w:t>Tri-Agency</w:t>
      </w:r>
      <w:r>
        <w:t xml:space="preserve"> </w:t>
      </w:r>
      <w:r w:rsidR="00F7107B">
        <w:t>evaluation c</w:t>
      </w:r>
      <w:r>
        <w:t>riteria.</w:t>
      </w:r>
      <w:r w:rsidR="003703EB">
        <w:t xml:space="preserve"> As the demand for funds normally far exceeds the funds available, not all meritorious proposals can be awarded.</w:t>
      </w:r>
    </w:p>
    <w:p w:rsidR="00455FED" w:rsidRDefault="00455FED">
      <w:pPr>
        <w:sectPr w:rsidR="00455FED">
          <w:pgSz w:w="12240" w:h="15840"/>
          <w:pgMar w:top="1580" w:right="560" w:bottom="660" w:left="900" w:header="458" w:footer="462" w:gutter="0"/>
          <w:cols w:space="720"/>
        </w:sectPr>
      </w:pPr>
    </w:p>
    <w:p w:rsidR="00455FED" w:rsidRDefault="00455FED">
      <w:pPr>
        <w:pStyle w:val="BodyText"/>
        <w:spacing w:before="5"/>
        <w:rPr>
          <w:sz w:val="16"/>
        </w:rPr>
      </w:pPr>
    </w:p>
    <w:p w:rsidR="00455FED" w:rsidRDefault="00E73246">
      <w:pPr>
        <w:pStyle w:val="Heading1"/>
        <w:spacing w:before="51"/>
      </w:pPr>
      <w:r>
        <w:t>Evaluation Criteria and Scoring</w:t>
      </w:r>
    </w:p>
    <w:p w:rsidR="00455FED" w:rsidRDefault="00E73246">
      <w:pPr>
        <w:pStyle w:val="BodyText"/>
        <w:spacing w:before="9"/>
        <w:ind w:left="180"/>
      </w:pPr>
      <w:r>
        <w:t xml:space="preserve">The following criteria and scoring scheme are used to evaluate </w:t>
      </w:r>
      <w:r w:rsidRPr="003703EB">
        <w:rPr>
          <w:color w:val="C00000"/>
        </w:rPr>
        <w:t>Impact Grants</w:t>
      </w:r>
    </w:p>
    <w:p w:rsidR="00455FED" w:rsidRDefault="00455FED">
      <w:pPr>
        <w:pStyle w:val="BodyText"/>
        <w:spacing w:before="1"/>
        <w:rPr>
          <w:sz w:val="25"/>
        </w:rPr>
      </w:pPr>
    </w:p>
    <w:tbl>
      <w:tblPr>
        <w:tblW w:w="0" w:type="auto"/>
        <w:tblInd w:w="3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48"/>
        <w:gridCol w:w="8982"/>
      </w:tblGrid>
      <w:tr w:rsidR="00455FED">
        <w:trPr>
          <w:trHeight w:hRule="exact" w:val="522"/>
        </w:trPr>
        <w:tc>
          <w:tcPr>
            <w:tcW w:w="848" w:type="dxa"/>
            <w:vMerge w:val="restart"/>
            <w:tcBorders>
              <w:left w:val="single" w:sz="4" w:space="0" w:color="000000"/>
              <w:right w:val="single" w:sz="4" w:space="0" w:color="000000"/>
            </w:tcBorders>
            <w:shd w:val="clear" w:color="auto" w:fill="DBE4F0"/>
            <w:textDirection w:val="btLr"/>
          </w:tcPr>
          <w:p w:rsidR="00455FED" w:rsidRDefault="00E73246">
            <w:pPr>
              <w:pStyle w:val="TableParagraph"/>
              <w:spacing w:before="110"/>
              <w:ind w:left="973"/>
              <w:rPr>
                <w:b/>
                <w:sz w:val="24"/>
              </w:rPr>
            </w:pPr>
            <w:r>
              <w:rPr>
                <w:b/>
                <w:spacing w:val="-1"/>
                <w:sz w:val="24"/>
              </w:rPr>
              <w:t>C</w:t>
            </w:r>
            <w:r>
              <w:rPr>
                <w:b/>
                <w:sz w:val="24"/>
              </w:rPr>
              <w:t>h</w:t>
            </w:r>
            <w:r>
              <w:rPr>
                <w:b/>
                <w:spacing w:val="-1"/>
                <w:sz w:val="24"/>
              </w:rPr>
              <w:t>a</w:t>
            </w:r>
            <w:r>
              <w:rPr>
                <w:b/>
                <w:spacing w:val="1"/>
                <w:sz w:val="24"/>
              </w:rPr>
              <w:t>ll</w:t>
            </w:r>
            <w:r>
              <w:rPr>
                <w:b/>
                <w:spacing w:val="-4"/>
                <w:sz w:val="24"/>
              </w:rPr>
              <w:t>e</w:t>
            </w:r>
            <w:r>
              <w:rPr>
                <w:b/>
                <w:sz w:val="24"/>
              </w:rPr>
              <w:t>n</w:t>
            </w:r>
            <w:r>
              <w:rPr>
                <w:b/>
                <w:spacing w:val="-1"/>
                <w:sz w:val="24"/>
              </w:rPr>
              <w:t>g</w:t>
            </w:r>
            <w:r>
              <w:rPr>
                <w:b/>
                <w:sz w:val="24"/>
              </w:rPr>
              <w:t>e</w:t>
            </w:r>
            <w:r>
              <w:rPr>
                <w:b/>
                <w:spacing w:val="-3"/>
                <w:sz w:val="24"/>
              </w:rPr>
              <w:t xml:space="preserve"> </w:t>
            </w:r>
            <w:r>
              <w:rPr>
                <w:b/>
                <w:spacing w:val="-2"/>
                <w:sz w:val="24"/>
              </w:rPr>
              <w:t>6</w:t>
            </w:r>
            <w:r>
              <w:rPr>
                <w:b/>
                <w:sz w:val="24"/>
              </w:rPr>
              <w:t>0%</w:t>
            </w:r>
          </w:p>
        </w:tc>
        <w:tc>
          <w:tcPr>
            <w:tcW w:w="8982" w:type="dxa"/>
            <w:tcBorders>
              <w:left w:val="single" w:sz="4" w:space="0" w:color="000000"/>
              <w:bottom w:val="single" w:sz="4" w:space="0" w:color="000000"/>
              <w:right w:val="single" w:sz="4" w:space="0" w:color="000000"/>
            </w:tcBorders>
            <w:shd w:val="clear" w:color="auto" w:fill="DBE4F0"/>
          </w:tcPr>
          <w:p w:rsidR="00455FED" w:rsidRDefault="00E73246">
            <w:pPr>
              <w:pStyle w:val="TableParagraph"/>
              <w:spacing w:before="89"/>
              <w:rPr>
                <w:b/>
                <w:sz w:val="24"/>
              </w:rPr>
            </w:pPr>
            <w:r>
              <w:rPr>
                <w:b/>
                <w:sz w:val="24"/>
              </w:rPr>
              <w:t>The aim and importance of the endeavor</w:t>
            </w:r>
          </w:p>
        </w:tc>
      </w:tr>
      <w:tr w:rsidR="00455FED">
        <w:trPr>
          <w:trHeight w:hRule="exact" w:val="451"/>
        </w:trPr>
        <w:tc>
          <w:tcPr>
            <w:tcW w:w="848" w:type="dxa"/>
            <w:vMerge/>
            <w:tcBorders>
              <w:left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88"/>
            </w:pPr>
            <w:r>
              <w:t>Clarity of the stated objectives and defined scope of the knowledge mobilization activity</w:t>
            </w:r>
          </w:p>
        </w:tc>
      </w:tr>
      <w:tr w:rsidR="00455FED">
        <w:trPr>
          <w:trHeight w:hRule="exact" w:val="653"/>
        </w:trPr>
        <w:tc>
          <w:tcPr>
            <w:tcW w:w="848" w:type="dxa"/>
            <w:vMerge/>
            <w:tcBorders>
              <w:left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01" w:line="228" w:lineRule="exact"/>
              <w:ind w:right="414"/>
            </w:pPr>
            <w:r>
              <w:t>Evidence of the quality and significance of the research results to be disseminated, including a clear delineation of a well-defined body of knowledge to be disseminated</w:t>
            </w:r>
          </w:p>
        </w:tc>
      </w:tr>
      <w:tr w:rsidR="00455FED">
        <w:trPr>
          <w:trHeight w:hRule="exact" w:val="773"/>
        </w:trPr>
        <w:tc>
          <w:tcPr>
            <w:tcW w:w="848" w:type="dxa"/>
            <w:vMerge/>
            <w:tcBorders>
              <w:left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64" w:line="226" w:lineRule="exact"/>
              <w:ind w:right="379"/>
            </w:pPr>
            <w:r>
              <w:t>Quality, innovativeness, and appropriateness of the knowledge mobilization activity, including effective dissemination, exchange, as well as engagement with stakeholders, where applicable</w:t>
            </w:r>
          </w:p>
        </w:tc>
      </w:tr>
      <w:tr w:rsidR="00455FED">
        <w:trPr>
          <w:trHeight w:hRule="exact" w:val="689"/>
        </w:trPr>
        <w:tc>
          <w:tcPr>
            <w:tcW w:w="848" w:type="dxa"/>
            <w:vMerge/>
            <w:tcBorders>
              <w:left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79"/>
              <w:ind w:right="806"/>
            </w:pPr>
            <w:r>
              <w:t>Evidence of the quality and significance of the event, its scope and potential contribution, including the degree event attracts appropriate participants</w:t>
            </w:r>
          </w:p>
        </w:tc>
      </w:tr>
      <w:tr w:rsidR="00455FED">
        <w:trPr>
          <w:trHeight w:hRule="exact" w:val="548"/>
        </w:trPr>
        <w:tc>
          <w:tcPr>
            <w:tcW w:w="848" w:type="dxa"/>
            <w:vMerge/>
            <w:tcBorders>
              <w:left w:val="single" w:sz="4" w:space="0" w:color="000000"/>
              <w:bottom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26"/>
            </w:pPr>
            <w:r>
              <w:t>Likelihood of influence and impact within and/or beyond the immediate research community</w:t>
            </w:r>
          </w:p>
        </w:tc>
      </w:tr>
      <w:tr w:rsidR="00455FED">
        <w:trPr>
          <w:trHeight w:hRule="exact" w:val="572"/>
        </w:trPr>
        <w:tc>
          <w:tcPr>
            <w:tcW w:w="848" w:type="dxa"/>
            <w:vMerge w:val="restart"/>
            <w:tcBorders>
              <w:left w:val="single" w:sz="4" w:space="0" w:color="000000"/>
              <w:right w:val="single" w:sz="4" w:space="0" w:color="000000"/>
            </w:tcBorders>
            <w:shd w:val="clear" w:color="auto" w:fill="FCE9D9"/>
            <w:textDirection w:val="btLr"/>
          </w:tcPr>
          <w:p w:rsidR="00455FED" w:rsidRDefault="00E73246">
            <w:pPr>
              <w:pStyle w:val="TableParagraph"/>
              <w:spacing w:before="108"/>
              <w:ind w:left="112"/>
              <w:rPr>
                <w:b/>
                <w:sz w:val="24"/>
              </w:rPr>
            </w:pPr>
            <w:r>
              <w:rPr>
                <w:b/>
                <w:sz w:val="24"/>
              </w:rPr>
              <w:t>Fe</w:t>
            </w:r>
            <w:r>
              <w:rPr>
                <w:b/>
                <w:spacing w:val="-2"/>
                <w:sz w:val="24"/>
              </w:rPr>
              <w:t>a</w:t>
            </w:r>
            <w:r>
              <w:rPr>
                <w:b/>
                <w:sz w:val="24"/>
              </w:rPr>
              <w:t>s</w:t>
            </w:r>
            <w:r>
              <w:rPr>
                <w:b/>
                <w:spacing w:val="-2"/>
                <w:sz w:val="24"/>
              </w:rPr>
              <w:t>i</w:t>
            </w:r>
            <w:r>
              <w:rPr>
                <w:b/>
                <w:sz w:val="24"/>
              </w:rPr>
              <w:t>b</w:t>
            </w:r>
            <w:r>
              <w:rPr>
                <w:b/>
                <w:spacing w:val="-2"/>
                <w:sz w:val="24"/>
              </w:rPr>
              <w:t>i</w:t>
            </w:r>
            <w:r>
              <w:rPr>
                <w:b/>
                <w:spacing w:val="1"/>
                <w:sz w:val="24"/>
              </w:rPr>
              <w:t>l</w:t>
            </w:r>
            <w:r>
              <w:rPr>
                <w:b/>
                <w:spacing w:val="-4"/>
                <w:sz w:val="24"/>
              </w:rPr>
              <w:t>i</w:t>
            </w:r>
            <w:r>
              <w:rPr>
                <w:b/>
                <w:sz w:val="24"/>
              </w:rPr>
              <w:t>ty</w:t>
            </w:r>
            <w:r>
              <w:rPr>
                <w:b/>
                <w:spacing w:val="-3"/>
                <w:sz w:val="24"/>
              </w:rPr>
              <w:t xml:space="preserve"> </w:t>
            </w:r>
            <w:r>
              <w:rPr>
                <w:b/>
                <w:sz w:val="24"/>
              </w:rPr>
              <w:t>20%</w:t>
            </w:r>
          </w:p>
        </w:tc>
        <w:tc>
          <w:tcPr>
            <w:tcW w:w="8982" w:type="dxa"/>
            <w:tcBorders>
              <w:left w:val="single" w:sz="4" w:space="0" w:color="000000"/>
              <w:bottom w:val="single" w:sz="4" w:space="0" w:color="000000"/>
              <w:right w:val="single" w:sz="4" w:space="0" w:color="000000"/>
            </w:tcBorders>
            <w:shd w:val="clear" w:color="auto" w:fill="FCE9D9"/>
          </w:tcPr>
          <w:p w:rsidR="00455FED" w:rsidRDefault="00E73246">
            <w:pPr>
              <w:pStyle w:val="TableParagraph"/>
              <w:spacing w:before="113"/>
              <w:rPr>
                <w:b/>
                <w:sz w:val="24"/>
              </w:rPr>
            </w:pPr>
            <w:r>
              <w:rPr>
                <w:b/>
                <w:sz w:val="24"/>
              </w:rPr>
              <w:t>The plan to achieve</w:t>
            </w:r>
          </w:p>
        </w:tc>
      </w:tr>
      <w:tr w:rsidR="00455FED">
        <w:trPr>
          <w:trHeight w:hRule="exact" w:val="552"/>
        </w:trPr>
        <w:tc>
          <w:tcPr>
            <w:tcW w:w="848" w:type="dxa"/>
            <w:vMerge/>
            <w:tcBorders>
              <w:left w:val="single" w:sz="4" w:space="0" w:color="000000"/>
              <w:right w:val="single" w:sz="4" w:space="0" w:color="000000"/>
            </w:tcBorders>
            <w:shd w:val="clear" w:color="auto" w:fill="FCE9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29"/>
            </w:pPr>
            <w:r>
              <w:t>Probability that the objectives of the activity will be met within the timeline proposed</w:t>
            </w:r>
          </w:p>
        </w:tc>
      </w:tr>
      <w:tr w:rsidR="00455FED">
        <w:trPr>
          <w:trHeight w:hRule="exact" w:val="586"/>
        </w:trPr>
        <w:tc>
          <w:tcPr>
            <w:tcW w:w="848" w:type="dxa"/>
            <w:vMerge/>
            <w:tcBorders>
              <w:left w:val="single" w:sz="4" w:space="0" w:color="000000"/>
              <w:bottom w:val="single" w:sz="4" w:space="0" w:color="000000"/>
              <w:right w:val="single" w:sz="4" w:space="0" w:color="000000"/>
            </w:tcBorders>
            <w:shd w:val="clear" w:color="auto" w:fill="FCE9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41"/>
            </w:pPr>
            <w:r>
              <w:t>Appropriateness of the requested budget and justification of proposed costs</w:t>
            </w:r>
          </w:p>
        </w:tc>
      </w:tr>
      <w:tr w:rsidR="00455FED">
        <w:trPr>
          <w:trHeight w:hRule="exact" w:val="643"/>
        </w:trPr>
        <w:tc>
          <w:tcPr>
            <w:tcW w:w="848" w:type="dxa"/>
            <w:vMerge w:val="restart"/>
            <w:tcBorders>
              <w:left w:val="single" w:sz="4" w:space="0" w:color="000000"/>
              <w:right w:val="single" w:sz="4" w:space="0" w:color="000000"/>
            </w:tcBorders>
            <w:shd w:val="clear" w:color="auto" w:fill="CCC0D9"/>
            <w:textDirection w:val="btLr"/>
          </w:tcPr>
          <w:p w:rsidR="00455FED" w:rsidRDefault="00E73246">
            <w:pPr>
              <w:pStyle w:val="TableParagraph"/>
              <w:spacing w:before="108"/>
              <w:ind w:left="458"/>
              <w:rPr>
                <w:b/>
                <w:sz w:val="24"/>
              </w:rPr>
            </w:pPr>
            <w:r>
              <w:rPr>
                <w:b/>
                <w:spacing w:val="-1"/>
                <w:sz w:val="24"/>
              </w:rPr>
              <w:t>Ca</w:t>
            </w:r>
            <w:r>
              <w:rPr>
                <w:b/>
                <w:sz w:val="24"/>
              </w:rPr>
              <w:t>p</w:t>
            </w:r>
            <w:r>
              <w:rPr>
                <w:b/>
                <w:spacing w:val="-4"/>
                <w:sz w:val="24"/>
              </w:rPr>
              <w:t>a</w:t>
            </w:r>
            <w:r>
              <w:rPr>
                <w:b/>
                <w:spacing w:val="1"/>
                <w:sz w:val="24"/>
              </w:rPr>
              <w:t>bil</w:t>
            </w:r>
            <w:r>
              <w:rPr>
                <w:b/>
                <w:spacing w:val="-4"/>
                <w:sz w:val="24"/>
              </w:rPr>
              <w:t>i</w:t>
            </w:r>
            <w:r>
              <w:rPr>
                <w:b/>
                <w:sz w:val="24"/>
              </w:rPr>
              <w:t xml:space="preserve">ty </w:t>
            </w:r>
            <w:r>
              <w:rPr>
                <w:b/>
                <w:spacing w:val="-4"/>
                <w:sz w:val="24"/>
              </w:rPr>
              <w:t>2</w:t>
            </w:r>
            <w:r>
              <w:rPr>
                <w:b/>
                <w:sz w:val="24"/>
              </w:rPr>
              <w:t>0%</w:t>
            </w:r>
          </w:p>
        </w:tc>
        <w:tc>
          <w:tcPr>
            <w:tcW w:w="8982" w:type="dxa"/>
            <w:tcBorders>
              <w:left w:val="single" w:sz="4" w:space="0" w:color="000000"/>
              <w:bottom w:val="single" w:sz="4" w:space="0" w:color="000000"/>
              <w:right w:val="single" w:sz="4" w:space="0" w:color="000000"/>
            </w:tcBorders>
            <w:shd w:val="clear" w:color="auto" w:fill="CCC0D9"/>
          </w:tcPr>
          <w:p w:rsidR="00455FED" w:rsidRDefault="00E73246">
            <w:pPr>
              <w:pStyle w:val="TableParagraph"/>
              <w:spacing w:before="150"/>
              <w:rPr>
                <w:b/>
                <w:sz w:val="24"/>
              </w:rPr>
            </w:pPr>
            <w:r>
              <w:rPr>
                <w:b/>
                <w:sz w:val="24"/>
              </w:rPr>
              <w:t>The expertise to succeed</w:t>
            </w:r>
          </w:p>
        </w:tc>
      </w:tr>
      <w:tr w:rsidR="00455FED">
        <w:trPr>
          <w:trHeight w:hRule="exact" w:val="684"/>
        </w:trPr>
        <w:tc>
          <w:tcPr>
            <w:tcW w:w="848" w:type="dxa"/>
            <w:vMerge/>
            <w:tcBorders>
              <w:left w:val="single" w:sz="4" w:space="0" w:color="000000"/>
              <w:right w:val="single" w:sz="4" w:space="0" w:color="000000"/>
            </w:tcBorders>
            <w:shd w:val="clear" w:color="auto" w:fill="CCC0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67"/>
            </w:pPr>
            <w:r>
              <w:t>Quality, quantity and significance of previous research experience and published and/or creative outputs</w:t>
            </w:r>
            <w:r>
              <w:rPr>
                <w:spacing w:val="-10"/>
              </w:rPr>
              <w:t xml:space="preserve"> </w:t>
            </w:r>
            <w:r>
              <w:t>of</w:t>
            </w:r>
            <w:r>
              <w:rPr>
                <w:spacing w:val="-11"/>
              </w:rPr>
              <w:t xml:space="preserve"> </w:t>
            </w:r>
            <w:r>
              <w:t>the</w:t>
            </w:r>
            <w:r>
              <w:rPr>
                <w:spacing w:val="-8"/>
              </w:rPr>
              <w:t xml:space="preserve"> </w:t>
            </w:r>
            <w:r>
              <w:t>applicant(s)</w:t>
            </w:r>
            <w:r>
              <w:rPr>
                <w:spacing w:val="-15"/>
              </w:rPr>
              <w:t xml:space="preserve"> </w:t>
            </w:r>
            <w:r>
              <w:t>relative</w:t>
            </w:r>
            <w:r>
              <w:rPr>
                <w:spacing w:val="-10"/>
              </w:rPr>
              <w:t xml:space="preserve"> </w:t>
            </w:r>
            <w:r>
              <w:t>to</w:t>
            </w:r>
            <w:r>
              <w:rPr>
                <w:spacing w:val="-12"/>
              </w:rPr>
              <w:t xml:space="preserve"> </w:t>
            </w:r>
            <w:r>
              <w:t>their</w:t>
            </w:r>
            <w:r>
              <w:rPr>
                <w:spacing w:val="-13"/>
              </w:rPr>
              <w:t xml:space="preserve"> </w:t>
            </w:r>
            <w:r>
              <w:t>roles</w:t>
            </w:r>
            <w:r>
              <w:rPr>
                <w:spacing w:val="-10"/>
              </w:rPr>
              <w:t xml:space="preserve"> </w:t>
            </w:r>
            <w:r>
              <w:t>in</w:t>
            </w:r>
            <w:r>
              <w:rPr>
                <w:spacing w:val="-16"/>
              </w:rPr>
              <w:t xml:space="preserve"> </w:t>
            </w:r>
            <w:r>
              <w:t>the</w:t>
            </w:r>
            <w:r>
              <w:rPr>
                <w:spacing w:val="-13"/>
              </w:rPr>
              <w:t xml:space="preserve"> </w:t>
            </w:r>
            <w:r>
              <w:t>project</w:t>
            </w:r>
            <w:r>
              <w:rPr>
                <w:spacing w:val="-12"/>
              </w:rPr>
              <w:t xml:space="preserve"> </w:t>
            </w:r>
            <w:r>
              <w:t>and</w:t>
            </w:r>
            <w:r>
              <w:rPr>
                <w:spacing w:val="-14"/>
              </w:rPr>
              <w:t xml:space="preserve"> </w:t>
            </w:r>
            <w:r>
              <w:t>their</w:t>
            </w:r>
            <w:r>
              <w:rPr>
                <w:spacing w:val="-13"/>
              </w:rPr>
              <w:t xml:space="preserve"> </w:t>
            </w:r>
            <w:r>
              <w:t>respective</w:t>
            </w:r>
            <w:r>
              <w:rPr>
                <w:spacing w:val="-14"/>
              </w:rPr>
              <w:t xml:space="preserve"> </w:t>
            </w:r>
            <w:r>
              <w:t>stages</w:t>
            </w:r>
            <w:r>
              <w:rPr>
                <w:spacing w:val="-13"/>
              </w:rPr>
              <w:t xml:space="preserve"> </w:t>
            </w:r>
            <w:r>
              <w:t>of</w:t>
            </w:r>
            <w:r>
              <w:rPr>
                <w:spacing w:val="-11"/>
              </w:rPr>
              <w:t xml:space="preserve"> </w:t>
            </w:r>
            <w:r>
              <w:t>career</w:t>
            </w:r>
          </w:p>
        </w:tc>
      </w:tr>
      <w:tr w:rsidR="00455FED">
        <w:trPr>
          <w:trHeight w:hRule="exact" w:val="638"/>
        </w:trPr>
        <w:tc>
          <w:tcPr>
            <w:tcW w:w="848" w:type="dxa"/>
            <w:vMerge/>
            <w:tcBorders>
              <w:left w:val="single" w:sz="4" w:space="0" w:color="000000"/>
              <w:right w:val="single" w:sz="4" w:space="0" w:color="000000"/>
            </w:tcBorders>
            <w:shd w:val="clear" w:color="auto" w:fill="CCC0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42"/>
              <w:ind w:right="317"/>
            </w:pPr>
            <w:r>
              <w:t>Evidence of previous knowledge mobilization activities and of impacts on professional practice, social services and policies, etc.</w:t>
            </w:r>
          </w:p>
        </w:tc>
      </w:tr>
      <w:tr w:rsidR="00455FED">
        <w:trPr>
          <w:trHeight w:hRule="exact" w:val="437"/>
        </w:trPr>
        <w:tc>
          <w:tcPr>
            <w:tcW w:w="848" w:type="dxa"/>
            <w:vMerge/>
            <w:tcBorders>
              <w:left w:val="single" w:sz="4" w:space="0" w:color="000000"/>
              <w:bottom w:val="single" w:sz="4" w:space="0" w:color="000000"/>
              <w:right w:val="single" w:sz="4" w:space="0" w:color="000000"/>
            </w:tcBorders>
            <w:shd w:val="clear" w:color="auto" w:fill="CCC0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71"/>
            </w:pPr>
            <w:r>
              <w:t>Potential of the applicant to make future contributions and secure external grants</w:t>
            </w:r>
          </w:p>
        </w:tc>
      </w:tr>
    </w:tbl>
    <w:p w:rsidR="00455FED" w:rsidRDefault="00455FED">
      <w:pPr>
        <w:pStyle w:val="BodyText"/>
      </w:pPr>
    </w:p>
    <w:p w:rsidR="00455FED" w:rsidRDefault="00E73246" w:rsidP="00503935">
      <w:pPr>
        <w:pStyle w:val="BodyText"/>
        <w:spacing w:before="1"/>
        <w:ind w:left="180" w:right="582"/>
        <w:sectPr w:rsidR="00455FED">
          <w:pgSz w:w="12240" w:h="15840"/>
          <w:pgMar w:top="1580" w:right="560" w:bottom="660" w:left="900" w:header="458" w:footer="462" w:gutter="0"/>
          <w:cols w:space="720"/>
        </w:sectPr>
      </w:pPr>
      <w:r>
        <w:t>Adjudication committee members assign a score for each of the three criteria listed above</w:t>
      </w:r>
      <w:r w:rsidR="00F7107B">
        <w:t xml:space="preserve"> and arrive at a </w:t>
      </w:r>
      <w:r>
        <w:t xml:space="preserve">final score. </w:t>
      </w:r>
      <w:bookmarkStart w:id="2" w:name="_Hlk512593758"/>
      <w:r>
        <w:t xml:space="preserve">The </w:t>
      </w:r>
      <w:r w:rsidR="004F3C40">
        <w:t>O</w:t>
      </w:r>
      <w:r w:rsidR="00F7107B">
        <w:t xml:space="preserve">ffice of Research Services </w:t>
      </w:r>
      <w:r>
        <w:t>will notify applicants of the results of their applications.</w:t>
      </w:r>
      <w:bookmarkEnd w:id="2"/>
    </w:p>
    <w:p w:rsidR="00455FED" w:rsidRDefault="00455FED">
      <w:pPr>
        <w:pStyle w:val="BodyText"/>
        <w:rPr>
          <w:sz w:val="20"/>
        </w:rPr>
      </w:pPr>
    </w:p>
    <w:p w:rsidR="00455FED" w:rsidRDefault="00455FED">
      <w:pPr>
        <w:pStyle w:val="BodyText"/>
        <w:spacing w:before="1" w:after="1"/>
        <w:rPr>
          <w:sz w:val="13"/>
        </w:rPr>
      </w:pPr>
    </w:p>
    <w:tbl>
      <w:tblPr>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552"/>
      </w:tblGrid>
      <w:tr w:rsidR="00455FED">
        <w:trPr>
          <w:trHeight w:hRule="exact" w:val="342"/>
        </w:trPr>
        <w:tc>
          <w:tcPr>
            <w:tcW w:w="1102" w:type="dxa"/>
            <w:shd w:val="clear" w:color="auto" w:fill="D9D9D9"/>
          </w:tcPr>
          <w:p w:rsidR="00455FED" w:rsidRDefault="00E73246">
            <w:pPr>
              <w:pStyle w:val="TableParagraph"/>
              <w:spacing w:before="20"/>
              <w:ind w:left="103"/>
              <w:rPr>
                <w:b/>
                <w:sz w:val="24"/>
              </w:rPr>
            </w:pPr>
            <w:r>
              <w:rPr>
                <w:b/>
                <w:sz w:val="24"/>
              </w:rPr>
              <w:t>Score</w:t>
            </w:r>
          </w:p>
        </w:tc>
        <w:tc>
          <w:tcPr>
            <w:tcW w:w="2552" w:type="dxa"/>
            <w:shd w:val="clear" w:color="auto" w:fill="D9D9D9"/>
          </w:tcPr>
          <w:p w:rsidR="00455FED" w:rsidRDefault="00E73246">
            <w:pPr>
              <w:pStyle w:val="TableParagraph"/>
              <w:spacing w:before="20"/>
              <w:ind w:left="103"/>
              <w:rPr>
                <w:b/>
                <w:sz w:val="24"/>
              </w:rPr>
            </w:pPr>
            <w:r>
              <w:rPr>
                <w:b/>
                <w:sz w:val="24"/>
              </w:rPr>
              <w:t>Descriptor</w:t>
            </w:r>
          </w:p>
        </w:tc>
      </w:tr>
      <w:tr w:rsidR="00455FED">
        <w:trPr>
          <w:trHeight w:hRule="exact" w:val="343"/>
        </w:trPr>
        <w:tc>
          <w:tcPr>
            <w:tcW w:w="1102" w:type="dxa"/>
          </w:tcPr>
          <w:p w:rsidR="00455FED" w:rsidRDefault="00E73246">
            <w:pPr>
              <w:pStyle w:val="TableParagraph"/>
              <w:ind w:left="103"/>
              <w:rPr>
                <w:sz w:val="24"/>
              </w:rPr>
            </w:pPr>
            <w:r>
              <w:rPr>
                <w:sz w:val="24"/>
              </w:rPr>
              <w:t>5-6</w:t>
            </w:r>
          </w:p>
        </w:tc>
        <w:tc>
          <w:tcPr>
            <w:tcW w:w="2552" w:type="dxa"/>
          </w:tcPr>
          <w:p w:rsidR="00455FED" w:rsidRDefault="00E73246">
            <w:pPr>
              <w:pStyle w:val="TableParagraph"/>
              <w:ind w:left="103"/>
              <w:rPr>
                <w:sz w:val="24"/>
              </w:rPr>
            </w:pPr>
            <w:r>
              <w:rPr>
                <w:sz w:val="24"/>
              </w:rPr>
              <w:t>Very Good - Excellence</w:t>
            </w:r>
          </w:p>
        </w:tc>
      </w:tr>
      <w:tr w:rsidR="00455FED">
        <w:trPr>
          <w:trHeight w:hRule="exact" w:val="343"/>
        </w:trPr>
        <w:tc>
          <w:tcPr>
            <w:tcW w:w="1102" w:type="dxa"/>
          </w:tcPr>
          <w:p w:rsidR="00455FED" w:rsidRDefault="00E73246">
            <w:pPr>
              <w:pStyle w:val="TableParagraph"/>
              <w:ind w:left="103"/>
              <w:rPr>
                <w:sz w:val="24"/>
              </w:rPr>
            </w:pPr>
            <w:r>
              <w:rPr>
                <w:sz w:val="24"/>
              </w:rPr>
              <w:t>4-4.9</w:t>
            </w:r>
          </w:p>
        </w:tc>
        <w:tc>
          <w:tcPr>
            <w:tcW w:w="2552" w:type="dxa"/>
          </w:tcPr>
          <w:p w:rsidR="00455FED" w:rsidRDefault="00E73246">
            <w:pPr>
              <w:pStyle w:val="TableParagraph"/>
              <w:ind w:left="103"/>
              <w:rPr>
                <w:sz w:val="24"/>
              </w:rPr>
            </w:pPr>
            <w:r>
              <w:rPr>
                <w:sz w:val="24"/>
              </w:rPr>
              <w:t>Good – Very Good</w:t>
            </w:r>
          </w:p>
        </w:tc>
      </w:tr>
      <w:tr w:rsidR="00455FED">
        <w:trPr>
          <w:trHeight w:hRule="exact" w:val="343"/>
        </w:trPr>
        <w:tc>
          <w:tcPr>
            <w:tcW w:w="1102" w:type="dxa"/>
          </w:tcPr>
          <w:p w:rsidR="00455FED" w:rsidRDefault="00E73246">
            <w:pPr>
              <w:pStyle w:val="TableParagraph"/>
              <w:ind w:left="103"/>
              <w:rPr>
                <w:sz w:val="24"/>
              </w:rPr>
            </w:pPr>
            <w:r>
              <w:rPr>
                <w:sz w:val="24"/>
              </w:rPr>
              <w:t>3-3.9</w:t>
            </w:r>
          </w:p>
        </w:tc>
        <w:tc>
          <w:tcPr>
            <w:tcW w:w="2552" w:type="dxa"/>
          </w:tcPr>
          <w:p w:rsidR="00455FED" w:rsidRDefault="00E73246">
            <w:pPr>
              <w:pStyle w:val="TableParagraph"/>
              <w:ind w:left="103"/>
              <w:rPr>
                <w:sz w:val="24"/>
              </w:rPr>
            </w:pPr>
            <w:r>
              <w:rPr>
                <w:sz w:val="24"/>
              </w:rPr>
              <w:t>Satisfactory -Good</w:t>
            </w:r>
          </w:p>
        </w:tc>
      </w:tr>
      <w:tr w:rsidR="00455FED">
        <w:trPr>
          <w:trHeight w:hRule="exact" w:val="343"/>
        </w:trPr>
        <w:tc>
          <w:tcPr>
            <w:tcW w:w="1102" w:type="dxa"/>
          </w:tcPr>
          <w:p w:rsidR="00455FED" w:rsidRDefault="00E73246">
            <w:pPr>
              <w:pStyle w:val="TableParagraph"/>
              <w:ind w:left="103"/>
              <w:rPr>
                <w:sz w:val="24"/>
              </w:rPr>
            </w:pPr>
            <w:r>
              <w:rPr>
                <w:sz w:val="24"/>
              </w:rPr>
              <w:t>Below 3</w:t>
            </w:r>
          </w:p>
        </w:tc>
        <w:tc>
          <w:tcPr>
            <w:tcW w:w="2552" w:type="dxa"/>
          </w:tcPr>
          <w:p w:rsidR="00455FED" w:rsidRDefault="00E73246">
            <w:pPr>
              <w:pStyle w:val="TableParagraph"/>
              <w:ind w:left="103"/>
              <w:rPr>
                <w:sz w:val="24"/>
              </w:rPr>
            </w:pPr>
            <w:r>
              <w:rPr>
                <w:sz w:val="24"/>
              </w:rPr>
              <w:t>Unsatisfactory</w:t>
            </w:r>
          </w:p>
        </w:tc>
      </w:tr>
    </w:tbl>
    <w:p w:rsidR="00455FED" w:rsidRDefault="00455FED">
      <w:pPr>
        <w:pStyle w:val="BodyText"/>
        <w:rPr>
          <w:sz w:val="20"/>
        </w:rPr>
      </w:pPr>
    </w:p>
    <w:p w:rsidR="00455FED" w:rsidRDefault="00455FED">
      <w:pPr>
        <w:pStyle w:val="BodyText"/>
        <w:spacing w:before="6"/>
        <w:rPr>
          <w:sz w:val="25"/>
        </w:rPr>
      </w:pPr>
    </w:p>
    <w:p w:rsidR="00455FED" w:rsidRDefault="00E73246">
      <w:pPr>
        <w:pStyle w:val="Heading1"/>
        <w:spacing w:before="101"/>
        <w:rPr>
          <w:rFonts w:ascii="Century Gothic"/>
        </w:rPr>
      </w:pPr>
      <w:r>
        <w:rPr>
          <w:rFonts w:ascii="Century Gothic"/>
        </w:rPr>
        <w:t>Terms and Conditions of the Grant</w:t>
      </w:r>
    </w:p>
    <w:p w:rsidR="00455FED" w:rsidRDefault="00E73246">
      <w:pPr>
        <w:spacing w:before="155"/>
        <w:ind w:left="180"/>
        <w:rPr>
          <w:b/>
          <w:sz w:val="24"/>
        </w:rPr>
      </w:pPr>
      <w:r>
        <w:rPr>
          <w:b/>
          <w:sz w:val="24"/>
        </w:rPr>
        <w:t>Compliance with University Research Policies</w:t>
      </w:r>
    </w:p>
    <w:p w:rsidR="00455FED" w:rsidRDefault="00E73246">
      <w:pPr>
        <w:pStyle w:val="BodyText"/>
        <w:spacing w:before="158"/>
        <w:ind w:left="180" w:right="646"/>
      </w:pPr>
      <w:r>
        <w:t xml:space="preserve">All policies, regulations and administrative processes of Concordia University of Edmonton apply. Research must comply with University policies on the conduct of research, policies on research ethics, and research integrity. It is the responsibility of the primary applicant to secure the appropriate </w:t>
      </w:r>
      <w:r w:rsidR="00285B76">
        <w:t xml:space="preserve">permissions and </w:t>
      </w:r>
      <w:r>
        <w:t xml:space="preserve">approvals for the proposed </w:t>
      </w:r>
      <w:r w:rsidR="00503935">
        <w:t>activity</w:t>
      </w:r>
      <w:r>
        <w:t>.</w:t>
      </w:r>
    </w:p>
    <w:p w:rsidR="00455FED" w:rsidRDefault="00E73246">
      <w:pPr>
        <w:pStyle w:val="Heading1"/>
      </w:pPr>
      <w:r>
        <w:t>Research Ethics and Certifications</w:t>
      </w:r>
    </w:p>
    <w:p w:rsidR="00455FED" w:rsidRDefault="00E73246">
      <w:pPr>
        <w:pStyle w:val="BodyText"/>
        <w:spacing w:before="160"/>
        <w:ind w:left="180" w:right="539"/>
      </w:pPr>
      <w:r>
        <w:t>The</w:t>
      </w:r>
      <w:r>
        <w:rPr>
          <w:spacing w:val="-4"/>
        </w:rPr>
        <w:t xml:space="preserve"> </w:t>
      </w:r>
      <w:hyperlink r:id="rId10" w:history="1">
        <w:r w:rsidRPr="00F7107B">
          <w:rPr>
            <w:rStyle w:val="Hyperlink"/>
          </w:rPr>
          <w:t>Tri-Council</w:t>
        </w:r>
        <w:r w:rsidRPr="00F7107B">
          <w:rPr>
            <w:rStyle w:val="Hyperlink"/>
            <w:spacing w:val="-4"/>
          </w:rPr>
          <w:t xml:space="preserve"> </w:t>
        </w:r>
        <w:r w:rsidRPr="00F7107B">
          <w:rPr>
            <w:rStyle w:val="Hyperlink"/>
          </w:rPr>
          <w:t>Agreement</w:t>
        </w:r>
        <w:r w:rsidRPr="00F7107B">
          <w:rPr>
            <w:rStyle w:val="Hyperlink"/>
            <w:spacing w:val="-4"/>
          </w:rPr>
          <w:t xml:space="preserve"> </w:t>
        </w:r>
        <w:r w:rsidRPr="00F7107B">
          <w:rPr>
            <w:rStyle w:val="Hyperlink"/>
          </w:rPr>
          <w:t>on</w:t>
        </w:r>
        <w:r w:rsidRPr="00F7107B">
          <w:rPr>
            <w:rStyle w:val="Hyperlink"/>
            <w:spacing w:val="-4"/>
          </w:rPr>
          <w:t xml:space="preserve"> </w:t>
        </w:r>
        <w:r w:rsidRPr="00F7107B">
          <w:rPr>
            <w:rStyle w:val="Hyperlink"/>
          </w:rPr>
          <w:t>the</w:t>
        </w:r>
        <w:r w:rsidRPr="00F7107B">
          <w:rPr>
            <w:rStyle w:val="Hyperlink"/>
            <w:spacing w:val="-3"/>
          </w:rPr>
          <w:t xml:space="preserve"> </w:t>
        </w:r>
        <w:r w:rsidRPr="00F7107B">
          <w:rPr>
            <w:rStyle w:val="Hyperlink"/>
          </w:rPr>
          <w:t>Administration</w:t>
        </w:r>
        <w:r w:rsidRPr="00F7107B">
          <w:rPr>
            <w:rStyle w:val="Hyperlink"/>
            <w:spacing w:val="-5"/>
          </w:rPr>
          <w:t xml:space="preserve"> </w:t>
        </w:r>
        <w:r w:rsidRPr="00F7107B">
          <w:rPr>
            <w:rStyle w:val="Hyperlink"/>
          </w:rPr>
          <w:t>of</w:t>
        </w:r>
        <w:r w:rsidRPr="00F7107B">
          <w:rPr>
            <w:rStyle w:val="Hyperlink"/>
            <w:spacing w:val="-2"/>
          </w:rPr>
          <w:t xml:space="preserve"> </w:t>
        </w:r>
        <w:r w:rsidRPr="00F7107B">
          <w:rPr>
            <w:rStyle w:val="Hyperlink"/>
          </w:rPr>
          <w:t>Agency</w:t>
        </w:r>
        <w:r w:rsidRPr="00F7107B">
          <w:rPr>
            <w:rStyle w:val="Hyperlink"/>
            <w:spacing w:val="-4"/>
          </w:rPr>
          <w:t xml:space="preserve"> </w:t>
        </w:r>
        <w:r w:rsidRPr="00F7107B">
          <w:rPr>
            <w:rStyle w:val="Hyperlink"/>
          </w:rPr>
          <w:t>Grants</w:t>
        </w:r>
      </w:hyperlink>
      <w:r>
        <w:rPr>
          <w:spacing w:val="-4"/>
        </w:rPr>
        <w:t xml:space="preserve"> </w:t>
      </w:r>
      <w:r>
        <w:t>and</w:t>
      </w:r>
      <w:r>
        <w:rPr>
          <w:spacing w:val="-4"/>
        </w:rPr>
        <w:t xml:space="preserve"> </w:t>
      </w:r>
      <w:r>
        <w:t>related</w:t>
      </w:r>
      <w:r>
        <w:rPr>
          <w:spacing w:val="-4"/>
        </w:rPr>
        <w:t xml:space="preserve"> </w:t>
      </w:r>
      <w:r>
        <w:t>documents</w:t>
      </w:r>
      <w:r>
        <w:rPr>
          <w:spacing w:val="-4"/>
        </w:rPr>
        <w:t xml:space="preserve"> </w:t>
      </w:r>
      <w:r>
        <w:t>require</w:t>
      </w:r>
      <w:r>
        <w:rPr>
          <w:spacing w:val="-4"/>
        </w:rPr>
        <w:t xml:space="preserve"> </w:t>
      </w:r>
      <w:r>
        <w:t xml:space="preserve">that researchers at eligible institutions ensure human ethics oversight for all funded research which involves human participants (regardless of the source). Applicants whose research involves human participants must submit a research ethics application to the Concordia Research Ethics Board and secure Research Ethics Board (REB) approval. REB approval must be in place before funding can be released and before any </w:t>
      </w:r>
      <w:r w:rsidR="00F7107B">
        <w:t>research</w:t>
      </w:r>
      <w:r>
        <w:t xml:space="preserve"> involving human participants can take</w:t>
      </w:r>
      <w:r>
        <w:rPr>
          <w:spacing w:val="-32"/>
        </w:rPr>
        <w:t xml:space="preserve"> </w:t>
      </w:r>
      <w:r>
        <w:t>place.</w:t>
      </w:r>
    </w:p>
    <w:p w:rsidR="00455FED" w:rsidRDefault="00E73246">
      <w:pPr>
        <w:pStyle w:val="Heading1"/>
      </w:pPr>
      <w:r>
        <w:t>Research Definition</w:t>
      </w:r>
    </w:p>
    <w:p w:rsidR="00455FED" w:rsidRDefault="00E73246">
      <w:pPr>
        <w:pStyle w:val="BodyText"/>
        <w:spacing w:before="162"/>
        <w:ind w:left="180" w:right="612"/>
      </w:pPr>
      <w:r>
        <w:t>Research</w:t>
      </w:r>
      <w:r w:rsidR="00076B87">
        <w:t xml:space="preserve"> is</w:t>
      </w:r>
      <w:r w:rsidR="00285B76">
        <w:t xml:space="preserve"> </w:t>
      </w:r>
      <w:r>
        <w:t xml:space="preserve">defined as the process of purposeful inquiry that generates new insights, knowledge, and innovation through scholarly investigation, experimentation, scientific practices, or artistic practices in a field of specialization. Research activities typically result in quantifiable outcomes and </w:t>
      </w:r>
      <w:r w:rsidR="00285B76">
        <w:t xml:space="preserve">through </w:t>
      </w:r>
      <w:r>
        <w:t>knowledge mobilization activities</w:t>
      </w:r>
      <w:r w:rsidR="00285B76">
        <w:t xml:space="preserve">, </w:t>
      </w:r>
      <w:r>
        <w:t>research knowledge is communicated to audiences both within and beyond academia to create positive impacts.</w:t>
      </w:r>
    </w:p>
    <w:p w:rsidR="00455FED" w:rsidRDefault="00E73246">
      <w:pPr>
        <w:pStyle w:val="Heading1"/>
      </w:pPr>
      <w:r>
        <w:t>Responsible Use of Grant Funds</w:t>
      </w:r>
    </w:p>
    <w:p w:rsidR="00455FED" w:rsidRDefault="00E73246">
      <w:pPr>
        <w:pStyle w:val="BodyText"/>
        <w:spacing w:before="158"/>
        <w:ind w:left="180" w:right="521"/>
      </w:pPr>
      <w:r>
        <w:t xml:space="preserve">The policies and requirements of the agencies stated in the </w:t>
      </w:r>
      <w:hyperlink r:id="rId11" w:history="1">
        <w:r w:rsidRPr="00F7107B">
          <w:rPr>
            <w:rStyle w:val="Hyperlink"/>
          </w:rPr>
          <w:t>Tri Agency Financial Administration Guide</w:t>
        </w:r>
      </w:hyperlink>
      <w:r>
        <w:t xml:space="preserve"> apply at all times. The award recipient is responsible for the use of the funds and for any over- expenditure of accounts.</w:t>
      </w:r>
    </w:p>
    <w:p w:rsidR="00455FED" w:rsidRDefault="00E73246">
      <w:pPr>
        <w:pStyle w:val="BodyText"/>
        <w:spacing w:before="159"/>
        <w:ind w:left="180" w:right="434"/>
      </w:pPr>
      <w:bookmarkStart w:id="3" w:name="_Hlk512594497"/>
      <w:r>
        <w:t xml:space="preserve">Expenditures are permitted only for those elements identified in the application. </w:t>
      </w:r>
      <w:r w:rsidR="002B4AB0">
        <w:t>Reasonable substitutions or alterations may be permitted as well as m</w:t>
      </w:r>
      <w:r>
        <w:t>inor transfers of funds from one budget category to another</w:t>
      </w:r>
      <w:r w:rsidR="002B4AB0">
        <w:t xml:space="preserve">. </w:t>
      </w:r>
      <w:r w:rsidR="00A65077">
        <w:t>U</w:t>
      </w:r>
      <w:r>
        <w:t xml:space="preserve">se of funds for a previously unspecified </w:t>
      </w:r>
      <w:r w:rsidR="002B4AB0">
        <w:t>purpose</w:t>
      </w:r>
      <w:r>
        <w:t>,</w:t>
      </w:r>
      <w:r w:rsidR="00A65077">
        <w:t xml:space="preserve"> or major changes in the scope of work</w:t>
      </w:r>
      <w:r>
        <w:t xml:space="preserve"> must be submitted to the Office </w:t>
      </w:r>
      <w:r w:rsidR="00A65077">
        <w:t xml:space="preserve">of Research Services </w:t>
      </w:r>
      <w:r>
        <w:t>for approval.</w:t>
      </w:r>
    </w:p>
    <w:bookmarkEnd w:id="3"/>
    <w:p w:rsidR="00455FED" w:rsidRDefault="00B87CBD">
      <w:pPr>
        <w:pStyle w:val="BodyText"/>
        <w:spacing w:before="158"/>
        <w:ind w:left="180" w:right="612"/>
      </w:pPr>
      <w:r w:rsidRPr="00B87CBD">
        <w:t xml:space="preserve">Cash advances </w:t>
      </w:r>
      <w:r w:rsidR="00CC4EB3">
        <w:t xml:space="preserve">of internal research grant funds </w:t>
      </w:r>
      <w:r w:rsidRPr="00B87CBD">
        <w:t xml:space="preserve">are not permitted; however, </w:t>
      </w:r>
      <w:r w:rsidR="00CC4EB3">
        <w:t xml:space="preserve">some </w:t>
      </w:r>
      <w:r w:rsidRPr="00B87CBD">
        <w:t>expenses can be covered directly by the institution</w:t>
      </w:r>
      <w:r w:rsidR="00CC4EB3">
        <w:t xml:space="preserve"> (e.g. purchase orders</w:t>
      </w:r>
      <w:r w:rsidRPr="00B87CBD">
        <w:t>).</w:t>
      </w:r>
      <w:r>
        <w:t xml:space="preserve"> </w:t>
      </w:r>
      <w:r w:rsidR="00E73246">
        <w:t xml:space="preserve">All activities and expenditures must be completed within the duration of the grant. Upon completion of the </w:t>
      </w:r>
      <w:r w:rsidR="00A65077">
        <w:t>grant</w:t>
      </w:r>
      <w:r w:rsidR="00E73246">
        <w:t>, the grant account will be closed and all unused funds will expire and be reclaimed.</w:t>
      </w:r>
    </w:p>
    <w:p w:rsidR="00455FED" w:rsidRDefault="00455FED">
      <w:pPr>
        <w:sectPr w:rsidR="00455FED">
          <w:pgSz w:w="12240" w:h="15840"/>
          <w:pgMar w:top="1580" w:right="560" w:bottom="660" w:left="900" w:header="458" w:footer="462" w:gutter="0"/>
          <w:cols w:space="720"/>
        </w:sectPr>
      </w:pPr>
    </w:p>
    <w:p w:rsidR="00455FED" w:rsidRDefault="00455FED">
      <w:pPr>
        <w:pStyle w:val="BodyText"/>
        <w:spacing w:before="7"/>
        <w:rPr>
          <w:sz w:val="16"/>
        </w:rPr>
      </w:pPr>
    </w:p>
    <w:p w:rsidR="00455FED" w:rsidRDefault="00E73246">
      <w:pPr>
        <w:pStyle w:val="Heading1"/>
        <w:spacing w:before="52"/>
      </w:pPr>
      <w:r>
        <w:t>Eligible Expenses</w:t>
      </w:r>
    </w:p>
    <w:p w:rsidR="00455FED" w:rsidRDefault="00E73246">
      <w:pPr>
        <w:pStyle w:val="BodyText"/>
        <w:spacing w:before="158"/>
        <w:ind w:left="180" w:right="1485"/>
      </w:pPr>
      <w:r>
        <w:rPr>
          <w:color w:val="212121"/>
        </w:rPr>
        <w:t>Impact Grant funding is intended to cover the direct costs of the Knowledge Mobilization and dissemination activity</w:t>
      </w:r>
      <w:r w:rsidR="002B4AB0">
        <w:rPr>
          <w:color w:val="212121"/>
        </w:rPr>
        <w:t xml:space="preserve"> only</w:t>
      </w:r>
      <w:r>
        <w:rPr>
          <w:color w:val="212121"/>
        </w:rPr>
        <w:t>. All items must be essential and must be carefully justified.</w:t>
      </w:r>
    </w:p>
    <w:p w:rsidR="00455FED" w:rsidRDefault="00E73246">
      <w:pPr>
        <w:pStyle w:val="Heading1"/>
        <w:spacing w:before="158"/>
      </w:pPr>
      <w:r>
        <w:t>Ineligible Expenses</w:t>
      </w:r>
    </w:p>
    <w:p w:rsidR="00455FED" w:rsidRDefault="00E73246" w:rsidP="002B4AB0">
      <w:pPr>
        <w:pStyle w:val="BodyText"/>
        <w:spacing w:before="160"/>
        <w:ind w:left="180" w:right="520"/>
      </w:pPr>
      <w:r>
        <w:t>University finance policies and guidelines must be adhered to for all requested budget items. Funds are not intended to provide release time for faculty, salaries, or living expenses. Funding does not support professional development, such as attendance at meetings, symposiums or conferences where work is not being presented.</w:t>
      </w:r>
      <w:r w:rsidR="002B4AB0">
        <w:t xml:space="preserve"> </w:t>
      </w:r>
      <w:r>
        <w:t>Retroactive funding and expenses incurred prior to the date of award letter will not be considered.</w:t>
      </w:r>
    </w:p>
    <w:p w:rsidR="00455FED" w:rsidRDefault="00E73246">
      <w:pPr>
        <w:pStyle w:val="Heading1"/>
      </w:pPr>
      <w:r>
        <w:t>Term of the Grant</w:t>
      </w:r>
    </w:p>
    <w:p w:rsidR="00280219" w:rsidRDefault="00280219" w:rsidP="00280219">
      <w:pPr>
        <w:pStyle w:val="BodyText"/>
        <w:spacing w:before="157"/>
        <w:ind w:left="181" w:right="425"/>
      </w:pPr>
      <w:r>
        <w:t>The term of an award is twelve months. After this date, funds will expire and unused funds will be reclaimed.</w:t>
      </w:r>
    </w:p>
    <w:p w:rsidR="00455FED" w:rsidRDefault="00E73246">
      <w:pPr>
        <w:pStyle w:val="Heading1"/>
        <w:spacing w:before="157"/>
      </w:pPr>
      <w:r>
        <w:t>Appeals</w:t>
      </w:r>
    </w:p>
    <w:p w:rsidR="00455FED" w:rsidRDefault="00E73246">
      <w:pPr>
        <w:pStyle w:val="BodyText"/>
        <w:spacing w:before="1"/>
        <w:ind w:left="180" w:right="583"/>
      </w:pPr>
      <w:r>
        <w:t>All applications are confidential and the decision of the Research and Faculty Development Committee is final. There is no provision for appeal of funding decisions.</w:t>
      </w:r>
    </w:p>
    <w:p w:rsidR="00455FED" w:rsidRDefault="00E73246">
      <w:pPr>
        <w:pStyle w:val="Heading1"/>
        <w:spacing w:before="157"/>
      </w:pPr>
      <w:r>
        <w:t>Acknowledgements</w:t>
      </w:r>
    </w:p>
    <w:p w:rsidR="00455FED" w:rsidRDefault="00E73246">
      <w:pPr>
        <w:pStyle w:val="BodyText"/>
        <w:spacing w:before="157"/>
        <w:ind w:left="180" w:right="944"/>
      </w:pPr>
      <w:r>
        <w:t>Public acknowledgement of Concordia University of Edmonton financial assistance is a condition of receiving a grant. Recipients should acknowledge support from the institution in publications, presentations, and other forms of dissemination</w:t>
      </w:r>
    </w:p>
    <w:p w:rsidR="00455FED" w:rsidRDefault="00A65077">
      <w:pPr>
        <w:pStyle w:val="Heading1"/>
        <w:spacing w:before="157"/>
      </w:pPr>
      <w:r>
        <w:t xml:space="preserve">Final </w:t>
      </w:r>
      <w:r w:rsidR="00E73246">
        <w:t>Report</w:t>
      </w:r>
    </w:p>
    <w:p w:rsidR="00455FED" w:rsidRDefault="00E73246">
      <w:pPr>
        <w:pStyle w:val="BodyText"/>
        <w:spacing w:before="157"/>
        <w:ind w:left="180" w:right="1151"/>
      </w:pPr>
      <w:bookmarkStart w:id="4" w:name="_Hlk512595110"/>
      <w:r>
        <w:t xml:space="preserve">Within </w:t>
      </w:r>
      <w:r w:rsidR="00212169">
        <w:t xml:space="preserve">30 days </w:t>
      </w:r>
      <w:r>
        <w:t xml:space="preserve">of the termination of the grant, a </w:t>
      </w:r>
      <w:r w:rsidR="00212169">
        <w:t xml:space="preserve">Final Report must be </w:t>
      </w:r>
      <w:r>
        <w:t xml:space="preserve">submitted to the </w:t>
      </w:r>
      <w:r w:rsidR="00A65077">
        <w:t xml:space="preserve">Office of </w:t>
      </w:r>
      <w:r>
        <w:t>Research Services.</w:t>
      </w:r>
      <w:r w:rsidR="008D585C">
        <w:t xml:space="preserve"> This </w:t>
      </w:r>
      <w:r w:rsidR="00212169">
        <w:t xml:space="preserve">form is </w:t>
      </w:r>
      <w:r w:rsidR="008D585C">
        <w:t xml:space="preserve">available by emailing </w:t>
      </w:r>
      <w:hyperlink r:id="rId12" w:history="1">
        <w:r w:rsidR="008D585C" w:rsidRPr="004F5317">
          <w:rPr>
            <w:rStyle w:val="Hyperlink"/>
          </w:rPr>
          <w:t>research@concordia.ab.ca</w:t>
        </w:r>
      </w:hyperlink>
      <w:r w:rsidR="008D585C">
        <w:t xml:space="preserve"> or through the website.</w:t>
      </w:r>
    </w:p>
    <w:bookmarkEnd w:id="4"/>
    <w:p w:rsidR="00455FED" w:rsidRDefault="00455FED">
      <w:pPr>
        <w:sectPr w:rsidR="00455FED">
          <w:pgSz w:w="12240" w:h="15840"/>
          <w:pgMar w:top="1580" w:right="560" w:bottom="660" w:left="900" w:header="458" w:footer="462" w:gutter="0"/>
          <w:cols w:space="720"/>
        </w:sectPr>
      </w:pPr>
    </w:p>
    <w:p w:rsidR="00455FED" w:rsidRDefault="00455FED">
      <w:pPr>
        <w:pStyle w:val="BodyText"/>
        <w:spacing w:before="11"/>
        <w:rPr>
          <w:sz w:val="12"/>
        </w:rPr>
      </w:pPr>
    </w:p>
    <w:p w:rsidR="00455FED" w:rsidRDefault="00E73246">
      <w:pPr>
        <w:pStyle w:val="Heading1"/>
        <w:spacing w:before="100"/>
        <w:rPr>
          <w:rFonts w:ascii="Century Gothic"/>
        </w:rPr>
      </w:pPr>
      <w:r>
        <w:rPr>
          <w:rFonts w:ascii="Century Gothic"/>
        </w:rPr>
        <w:t>Application Procedure</w:t>
      </w:r>
    </w:p>
    <w:p w:rsidR="00455FED" w:rsidRDefault="008D585C">
      <w:pPr>
        <w:pStyle w:val="ListParagraph"/>
        <w:numPr>
          <w:ilvl w:val="0"/>
          <w:numId w:val="1"/>
        </w:numPr>
        <w:tabs>
          <w:tab w:val="left" w:pos="541"/>
        </w:tabs>
        <w:ind w:hanging="360"/>
        <w:rPr>
          <w:sz w:val="24"/>
        </w:rPr>
      </w:pPr>
      <w:r>
        <w:rPr>
          <w:sz w:val="24"/>
        </w:rPr>
        <w:t xml:space="preserve">Ensure you are </w:t>
      </w:r>
      <w:bookmarkStart w:id="5" w:name="_Hlk512595163"/>
      <w:r>
        <w:rPr>
          <w:sz w:val="24"/>
        </w:rPr>
        <w:t xml:space="preserve">using </w:t>
      </w:r>
      <w:r w:rsidR="00E73246">
        <w:rPr>
          <w:sz w:val="24"/>
        </w:rPr>
        <w:t xml:space="preserve">the correct </w:t>
      </w:r>
      <w:r>
        <w:rPr>
          <w:sz w:val="24"/>
        </w:rPr>
        <w:t xml:space="preserve">grant </w:t>
      </w:r>
      <w:r w:rsidR="00E73246">
        <w:rPr>
          <w:sz w:val="24"/>
        </w:rPr>
        <w:t xml:space="preserve">application form for the </w:t>
      </w:r>
      <w:r>
        <w:rPr>
          <w:sz w:val="24"/>
        </w:rPr>
        <w:t>proposed activity (Seed Grant for research projects and Impact Grant for dissemination and knowledge mobilization)</w:t>
      </w:r>
      <w:bookmarkEnd w:id="5"/>
    </w:p>
    <w:p w:rsidR="00455FED" w:rsidRDefault="00E73246">
      <w:pPr>
        <w:pStyle w:val="ListParagraph"/>
        <w:numPr>
          <w:ilvl w:val="0"/>
          <w:numId w:val="1"/>
        </w:numPr>
        <w:tabs>
          <w:tab w:val="left" w:pos="541"/>
        </w:tabs>
        <w:ind w:hanging="360"/>
        <w:rPr>
          <w:sz w:val="24"/>
        </w:rPr>
      </w:pPr>
      <w:r>
        <w:rPr>
          <w:sz w:val="24"/>
        </w:rPr>
        <w:t>Complete all sections of the</w:t>
      </w:r>
      <w:r>
        <w:rPr>
          <w:spacing w:val="-18"/>
          <w:sz w:val="24"/>
        </w:rPr>
        <w:t xml:space="preserve"> </w:t>
      </w:r>
      <w:r>
        <w:rPr>
          <w:sz w:val="24"/>
        </w:rPr>
        <w:t>application.</w:t>
      </w:r>
      <w:r w:rsidR="00076B87">
        <w:rPr>
          <w:sz w:val="24"/>
        </w:rPr>
        <w:t xml:space="preserve"> Use the checklist</w:t>
      </w:r>
      <w:r w:rsidR="00CA3C49">
        <w:rPr>
          <w:sz w:val="24"/>
        </w:rPr>
        <w:t>.</w:t>
      </w:r>
    </w:p>
    <w:p w:rsidR="00455FED" w:rsidRDefault="00E73246">
      <w:pPr>
        <w:pStyle w:val="ListParagraph"/>
        <w:numPr>
          <w:ilvl w:val="0"/>
          <w:numId w:val="1"/>
        </w:numPr>
        <w:tabs>
          <w:tab w:val="left" w:pos="541"/>
        </w:tabs>
        <w:ind w:hanging="360"/>
        <w:rPr>
          <w:sz w:val="24"/>
        </w:rPr>
      </w:pPr>
      <w:r>
        <w:rPr>
          <w:sz w:val="24"/>
        </w:rPr>
        <w:t>Sign application and obtain department head</w:t>
      </w:r>
      <w:r>
        <w:rPr>
          <w:spacing w:val="-23"/>
          <w:sz w:val="24"/>
        </w:rPr>
        <w:t xml:space="preserve"> </w:t>
      </w:r>
      <w:r>
        <w:rPr>
          <w:sz w:val="24"/>
        </w:rPr>
        <w:t>signature.</w:t>
      </w:r>
    </w:p>
    <w:p w:rsidR="00455FED" w:rsidRDefault="00E73246">
      <w:pPr>
        <w:pStyle w:val="ListParagraph"/>
        <w:numPr>
          <w:ilvl w:val="0"/>
          <w:numId w:val="1"/>
        </w:numPr>
        <w:tabs>
          <w:tab w:val="left" w:pos="541"/>
        </w:tabs>
        <w:ind w:hanging="360"/>
        <w:rPr>
          <w:sz w:val="24"/>
        </w:rPr>
      </w:pPr>
      <w:r>
        <w:rPr>
          <w:sz w:val="24"/>
        </w:rPr>
        <w:t>Attach all requested attachments or supplemental</w:t>
      </w:r>
      <w:r>
        <w:rPr>
          <w:spacing w:val="-31"/>
          <w:sz w:val="24"/>
        </w:rPr>
        <w:t xml:space="preserve"> </w:t>
      </w:r>
      <w:r>
        <w:rPr>
          <w:sz w:val="24"/>
        </w:rPr>
        <w:t>documents.</w:t>
      </w:r>
    </w:p>
    <w:p w:rsidR="00455FED" w:rsidRDefault="00E73246">
      <w:pPr>
        <w:pStyle w:val="ListParagraph"/>
        <w:numPr>
          <w:ilvl w:val="0"/>
          <w:numId w:val="1"/>
        </w:numPr>
        <w:tabs>
          <w:tab w:val="left" w:pos="541"/>
        </w:tabs>
        <w:spacing w:before="60"/>
        <w:ind w:hanging="360"/>
        <w:rPr>
          <w:sz w:val="24"/>
        </w:rPr>
      </w:pPr>
      <w:r>
        <w:rPr>
          <w:sz w:val="24"/>
        </w:rPr>
        <w:t>Submit complete application package as one document (pdf</w:t>
      </w:r>
      <w:r>
        <w:rPr>
          <w:spacing w:val="-26"/>
          <w:sz w:val="24"/>
        </w:rPr>
        <w:t xml:space="preserve"> </w:t>
      </w:r>
      <w:r>
        <w:rPr>
          <w:sz w:val="24"/>
        </w:rPr>
        <w:t>format)</w:t>
      </w:r>
      <w:r w:rsidR="002C5694">
        <w:rPr>
          <w:sz w:val="24"/>
        </w:rPr>
        <w:t>.</w:t>
      </w:r>
    </w:p>
    <w:p w:rsidR="00455FED" w:rsidRDefault="00E73246">
      <w:pPr>
        <w:pStyle w:val="ListParagraph"/>
        <w:numPr>
          <w:ilvl w:val="0"/>
          <w:numId w:val="1"/>
        </w:numPr>
        <w:tabs>
          <w:tab w:val="left" w:pos="541"/>
        </w:tabs>
        <w:ind w:hanging="360"/>
        <w:rPr>
          <w:sz w:val="24"/>
        </w:rPr>
      </w:pPr>
      <w:r>
        <w:rPr>
          <w:sz w:val="24"/>
        </w:rPr>
        <w:t>Send application package to</w:t>
      </w:r>
      <w:r>
        <w:rPr>
          <w:spacing w:val="-23"/>
          <w:sz w:val="24"/>
        </w:rPr>
        <w:t xml:space="preserve"> </w:t>
      </w:r>
      <w:hyperlink r:id="rId13">
        <w:r>
          <w:rPr>
            <w:color w:val="0000FF"/>
            <w:sz w:val="24"/>
            <w:u w:val="single" w:color="0000FF"/>
          </w:rPr>
          <w:t>research@concordia.ab.ca</w:t>
        </w:r>
      </w:hyperlink>
    </w:p>
    <w:p w:rsidR="00455FED" w:rsidRDefault="00E73246">
      <w:pPr>
        <w:pStyle w:val="ListParagraph"/>
        <w:numPr>
          <w:ilvl w:val="1"/>
          <w:numId w:val="1"/>
        </w:numPr>
        <w:tabs>
          <w:tab w:val="left" w:pos="900"/>
          <w:tab w:val="left" w:pos="901"/>
        </w:tabs>
        <w:spacing w:before="154" w:line="242" w:lineRule="auto"/>
        <w:ind w:right="607"/>
        <w:rPr>
          <w:sz w:val="24"/>
        </w:rPr>
      </w:pPr>
      <w:r>
        <w:rPr>
          <w:sz w:val="24"/>
        </w:rPr>
        <w:t>The application must be compiled as one complete document in pdf format.</w:t>
      </w:r>
      <w:r>
        <w:rPr>
          <w:spacing w:val="-38"/>
          <w:sz w:val="24"/>
        </w:rPr>
        <w:t xml:space="preserve"> </w:t>
      </w:r>
      <w:r>
        <w:rPr>
          <w:sz w:val="24"/>
        </w:rPr>
        <w:t>Paper submissions will not be</w:t>
      </w:r>
      <w:r>
        <w:rPr>
          <w:spacing w:val="-11"/>
          <w:sz w:val="24"/>
        </w:rPr>
        <w:t xml:space="preserve"> </w:t>
      </w:r>
      <w:r>
        <w:rPr>
          <w:sz w:val="24"/>
        </w:rPr>
        <w:t>considered</w:t>
      </w:r>
      <w:r w:rsidR="005B08E5">
        <w:rPr>
          <w:sz w:val="24"/>
        </w:rPr>
        <w:t>.</w:t>
      </w:r>
    </w:p>
    <w:p w:rsidR="00455FED" w:rsidRDefault="00E73246">
      <w:pPr>
        <w:pStyle w:val="ListParagraph"/>
        <w:numPr>
          <w:ilvl w:val="1"/>
          <w:numId w:val="1"/>
        </w:numPr>
        <w:tabs>
          <w:tab w:val="left" w:pos="900"/>
          <w:tab w:val="left" w:pos="901"/>
        </w:tabs>
        <w:spacing w:before="53"/>
        <w:rPr>
          <w:sz w:val="24"/>
        </w:rPr>
      </w:pPr>
      <w:r>
        <w:rPr>
          <w:sz w:val="24"/>
        </w:rPr>
        <w:t>Applications received past deadline or that are not complete will be not be</w:t>
      </w:r>
      <w:r>
        <w:rPr>
          <w:spacing w:val="-29"/>
          <w:sz w:val="24"/>
        </w:rPr>
        <w:t xml:space="preserve"> </w:t>
      </w:r>
      <w:r>
        <w:rPr>
          <w:sz w:val="24"/>
        </w:rPr>
        <w:t>considered.</w:t>
      </w:r>
    </w:p>
    <w:p w:rsidR="00CA3CD1" w:rsidRDefault="00CA3CD1" w:rsidP="00CA3CD1">
      <w:pPr>
        <w:pStyle w:val="ListParagraph"/>
        <w:numPr>
          <w:ilvl w:val="1"/>
          <w:numId w:val="1"/>
        </w:numPr>
        <w:tabs>
          <w:tab w:val="left" w:pos="901"/>
        </w:tabs>
        <w:spacing w:before="58"/>
        <w:ind w:right="556"/>
        <w:rPr>
          <w:sz w:val="24"/>
        </w:rPr>
      </w:pPr>
      <w:r>
        <w:rPr>
          <w:b/>
          <w:sz w:val="24"/>
        </w:rPr>
        <w:t>Application components that exceed the allowed space limits will be returned to the applicant for correction.</w:t>
      </w:r>
      <w:r>
        <w:rPr>
          <w:sz w:val="24"/>
        </w:rPr>
        <w:t xml:space="preserve"> Non-conforming submissions will be returned for compilation and</w:t>
      </w:r>
      <w:r>
        <w:rPr>
          <w:spacing w:val="-37"/>
          <w:sz w:val="24"/>
        </w:rPr>
        <w:t xml:space="preserve"> </w:t>
      </w:r>
      <w:r>
        <w:rPr>
          <w:sz w:val="24"/>
        </w:rPr>
        <w:t xml:space="preserve">formatting. </w:t>
      </w:r>
      <w:r>
        <w:rPr>
          <w:b/>
          <w:sz w:val="24"/>
          <w:u w:val="single"/>
        </w:rPr>
        <w:t>Deadlines still apply</w:t>
      </w:r>
      <w:r>
        <w:rPr>
          <w:sz w:val="24"/>
        </w:rPr>
        <w:t xml:space="preserve">. Unrequested and extraneous attachments or supplemental material will be removed from the application. </w:t>
      </w:r>
    </w:p>
    <w:p w:rsidR="00076B87" w:rsidRPr="00076B87" w:rsidRDefault="00076B87" w:rsidP="00076B87">
      <w:pPr>
        <w:pStyle w:val="ListParagraph"/>
        <w:tabs>
          <w:tab w:val="left" w:pos="900"/>
          <w:tab w:val="left" w:pos="901"/>
        </w:tabs>
        <w:spacing w:before="58"/>
        <w:ind w:left="900" w:right="556" w:firstLine="0"/>
        <w:rPr>
          <w:sz w:val="24"/>
        </w:rPr>
      </w:pPr>
    </w:p>
    <w:sectPr w:rsidR="00076B87" w:rsidRPr="00076B87">
      <w:pgSz w:w="12240" w:h="15840"/>
      <w:pgMar w:top="1580" w:right="560" w:bottom="660" w:left="900" w:header="458" w:footer="4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0F" w:rsidRDefault="00D0740F">
      <w:r>
        <w:separator/>
      </w:r>
    </w:p>
  </w:endnote>
  <w:endnote w:type="continuationSeparator" w:id="0">
    <w:p w:rsidR="00D0740F" w:rsidRDefault="00D0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46" w:rsidRDefault="00D804B8">
    <w:pPr>
      <w:pStyle w:val="BodyText"/>
      <w:spacing w:line="14" w:lineRule="auto"/>
      <w:rPr>
        <w:sz w:val="20"/>
      </w:rPr>
    </w:pPr>
    <w:r>
      <w:rPr>
        <w:noProof/>
      </w:rPr>
      <mc:AlternateContent>
        <mc:Choice Requires="wps">
          <w:drawing>
            <wp:anchor distT="0" distB="0" distL="114300" distR="114300" simplePos="0" relativeHeight="503308736" behindDoc="1" locked="0" layoutInCell="1" allowOverlap="1">
              <wp:simplePos x="0" y="0"/>
              <wp:positionH relativeFrom="page">
                <wp:posOffset>673100</wp:posOffset>
              </wp:positionH>
              <wp:positionV relativeFrom="page">
                <wp:posOffset>9625330</wp:posOffset>
              </wp:positionV>
              <wp:extent cx="1718945" cy="2266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206" w:rsidRDefault="003C5206">
                          <w:pPr>
                            <w:spacing w:before="14"/>
                            <w:ind w:left="20" w:right="-3"/>
                            <w:rPr>
                              <w:rFonts w:ascii="Arial"/>
                              <w:sz w:val="14"/>
                            </w:rPr>
                          </w:pPr>
                          <w:r>
                            <w:rPr>
                              <w:rFonts w:ascii="Arial"/>
                              <w:sz w:val="14"/>
                            </w:rPr>
                            <w:t xml:space="preserve">Application Guidelines: </w:t>
                          </w:r>
                          <w:r w:rsidR="00E73246">
                            <w:rPr>
                              <w:rFonts w:ascii="Arial"/>
                              <w:sz w:val="14"/>
                            </w:rPr>
                            <w:t xml:space="preserve">Impact Grant </w:t>
                          </w:r>
                        </w:p>
                        <w:p w:rsidR="00E73246" w:rsidRDefault="00301F4E">
                          <w:pPr>
                            <w:spacing w:before="14"/>
                            <w:ind w:left="20" w:right="-3"/>
                            <w:rPr>
                              <w:rFonts w:ascii="Arial"/>
                              <w:sz w:val="14"/>
                            </w:rPr>
                          </w:pPr>
                          <w:r>
                            <w:rPr>
                              <w:rFonts w:ascii="Arial"/>
                              <w:sz w:val="14"/>
                            </w:rPr>
                            <w:t>May</w:t>
                          </w:r>
                          <w:r w:rsidR="00614A81">
                            <w:rPr>
                              <w:rFonts w:ascii="Arial"/>
                              <w:sz w:val="1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57.9pt;width:135.35pt;height:17.85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O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uTSj5NwgVEJZ0EQRcn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" filled="f" stroked="f">
              <v:textbox inset="0,0,0,0">
                <w:txbxContent>
                  <w:p w:rsidR="003C5206" w:rsidRDefault="003C5206">
                    <w:pPr>
                      <w:spacing w:before="14"/>
                      <w:ind w:left="20" w:right="-3"/>
                      <w:rPr>
                        <w:rFonts w:ascii="Arial"/>
                        <w:sz w:val="14"/>
                      </w:rPr>
                    </w:pPr>
                    <w:r>
                      <w:rPr>
                        <w:rFonts w:ascii="Arial"/>
                        <w:sz w:val="14"/>
                      </w:rPr>
                      <w:t xml:space="preserve">Application Guidelines: </w:t>
                    </w:r>
                    <w:r w:rsidR="00E73246">
                      <w:rPr>
                        <w:rFonts w:ascii="Arial"/>
                        <w:sz w:val="14"/>
                      </w:rPr>
                      <w:t xml:space="preserve">Impact Grant </w:t>
                    </w:r>
                  </w:p>
                  <w:p w:rsidR="00E73246" w:rsidRDefault="00301F4E">
                    <w:pPr>
                      <w:spacing w:before="14"/>
                      <w:ind w:left="20" w:right="-3"/>
                      <w:rPr>
                        <w:rFonts w:ascii="Arial"/>
                        <w:sz w:val="14"/>
                      </w:rPr>
                    </w:pPr>
                    <w:r>
                      <w:rPr>
                        <w:rFonts w:ascii="Arial"/>
                        <w:sz w:val="14"/>
                      </w:rPr>
                      <w:t>May</w:t>
                    </w:r>
                    <w:r w:rsidR="00614A81">
                      <w:rPr>
                        <w:rFonts w:ascii="Arial"/>
                        <w:sz w:val="14"/>
                      </w:rPr>
                      <w:t>2019</w:t>
                    </w:r>
                  </w:p>
                </w:txbxContent>
              </v:textbox>
              <w10:wrap anchorx="page" anchory="page"/>
            </v:shape>
          </w:pict>
        </mc:Fallback>
      </mc:AlternateContent>
    </w:r>
    <w:r>
      <w:rPr>
        <w:noProof/>
      </w:rPr>
      <mc:AlternateContent>
        <mc:Choice Requires="wps">
          <w:drawing>
            <wp:anchor distT="0" distB="0" distL="114300" distR="114300" simplePos="0" relativeHeight="503308760" behindDoc="1" locked="0" layoutInCell="1" allowOverlap="1">
              <wp:simplePos x="0" y="0"/>
              <wp:positionH relativeFrom="page">
                <wp:posOffset>6548755</wp:posOffset>
              </wp:positionH>
              <wp:positionV relativeFrom="page">
                <wp:posOffset>9826625</wp:posOffset>
              </wp:positionV>
              <wp:extent cx="107950" cy="1397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246" w:rsidRDefault="00E73246">
                          <w:pPr>
                            <w:spacing w:before="15"/>
                            <w:ind w:left="40"/>
                            <w:rPr>
                              <w:rFonts w:ascii="Arial"/>
                              <w:b/>
                              <w:sz w:val="16"/>
                            </w:rPr>
                          </w:pPr>
                          <w:r>
                            <w:fldChar w:fldCharType="begin"/>
                          </w:r>
                          <w:r>
                            <w:rPr>
                              <w:rFonts w:ascii="Arial"/>
                              <w:b/>
                              <w:sz w:val="16"/>
                            </w:rPr>
                            <w:instrText xml:space="preserve"> PAGE </w:instrText>
                          </w:r>
                          <w:r>
                            <w:fldChar w:fldCharType="separate"/>
                          </w:r>
                          <w:r w:rsidR="00301F4E">
                            <w:rPr>
                              <w:rFonts w:ascii="Arial"/>
                              <w:b/>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5.65pt;margin-top:773.75pt;width:8.5pt;height:11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kXrwIAAK8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" filled="f" stroked="f">
              <v:textbox inset="0,0,0,0">
                <w:txbxContent>
                  <w:p w:rsidR="00E73246" w:rsidRDefault="00E73246">
                    <w:pPr>
                      <w:spacing w:before="15"/>
                      <w:ind w:left="40"/>
                      <w:rPr>
                        <w:rFonts w:ascii="Arial"/>
                        <w:b/>
                        <w:sz w:val="16"/>
                      </w:rPr>
                    </w:pPr>
                    <w:r>
                      <w:fldChar w:fldCharType="begin"/>
                    </w:r>
                    <w:r>
                      <w:rPr>
                        <w:rFonts w:ascii="Arial"/>
                        <w:b/>
                        <w:sz w:val="16"/>
                      </w:rPr>
                      <w:instrText xml:space="preserve"> PAGE </w:instrText>
                    </w:r>
                    <w:r>
                      <w:fldChar w:fldCharType="separate"/>
                    </w:r>
                    <w:r w:rsidR="00301F4E">
                      <w:rPr>
                        <w:rFonts w:ascii="Arial"/>
                        <w:b/>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0F" w:rsidRDefault="00D0740F">
      <w:r>
        <w:separator/>
      </w:r>
    </w:p>
  </w:footnote>
  <w:footnote w:type="continuationSeparator" w:id="0">
    <w:p w:rsidR="00D0740F" w:rsidRDefault="00D07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46" w:rsidRDefault="00E73246">
    <w:pPr>
      <w:pStyle w:val="BodyText"/>
      <w:spacing w:line="14" w:lineRule="auto"/>
      <w:rPr>
        <w:sz w:val="20"/>
      </w:rPr>
    </w:pPr>
    <w:r>
      <w:rPr>
        <w:noProof/>
      </w:rPr>
      <w:drawing>
        <wp:anchor distT="0" distB="0" distL="0" distR="0" simplePos="0" relativeHeight="268427639" behindDoc="1" locked="0" layoutInCell="1" allowOverlap="1">
          <wp:simplePos x="0" y="0"/>
          <wp:positionH relativeFrom="page">
            <wp:posOffset>638555</wp:posOffset>
          </wp:positionH>
          <wp:positionV relativeFrom="page">
            <wp:posOffset>291084</wp:posOffset>
          </wp:positionV>
          <wp:extent cx="1551432" cy="6614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1432" cy="661416"/>
                  </a:xfrm>
                  <a:prstGeom prst="rect">
                    <a:avLst/>
                  </a:prstGeom>
                </pic:spPr>
              </pic:pic>
            </a:graphicData>
          </a:graphic>
        </wp:anchor>
      </w:drawing>
    </w:r>
    <w:r w:rsidR="00D804B8">
      <w:rPr>
        <w:noProof/>
      </w:rPr>
      <mc:AlternateContent>
        <mc:Choice Requires="wps">
          <w:drawing>
            <wp:anchor distT="0" distB="0" distL="114300" distR="114300" simplePos="0" relativeHeight="503308688" behindDoc="1" locked="0" layoutInCell="1" allowOverlap="1">
              <wp:simplePos x="0" y="0"/>
              <wp:positionH relativeFrom="page">
                <wp:posOffset>895985</wp:posOffset>
              </wp:positionH>
              <wp:positionV relativeFrom="page">
                <wp:posOffset>1001395</wp:posOffset>
              </wp:positionV>
              <wp:extent cx="6437630" cy="0"/>
              <wp:effectExtent l="10160" t="10795" r="1016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5240">
                        <a:solidFill>
                          <a:srgbClr val="1737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909413" id="Line 4" o:spid="_x0000_s1026" style="position:absolute;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8.85pt" to="577.4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" strokecolor="#17375e" strokeweight="1.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888"/>
    <w:multiLevelType w:val="hybridMultilevel"/>
    <w:tmpl w:val="AF9C9DFC"/>
    <w:lvl w:ilvl="0" w:tplc="3F447F08">
      <w:start w:val="1"/>
      <w:numFmt w:val="decimal"/>
      <w:lvlText w:val="%1."/>
      <w:lvlJc w:val="left"/>
      <w:pPr>
        <w:ind w:left="540" w:hanging="361"/>
      </w:pPr>
      <w:rPr>
        <w:rFonts w:ascii="Calibri" w:eastAsia="Calibri" w:hAnsi="Calibri" w:cs="Calibri" w:hint="default"/>
        <w:spacing w:val="-3"/>
        <w:w w:val="100"/>
        <w:sz w:val="24"/>
        <w:szCs w:val="24"/>
      </w:rPr>
    </w:lvl>
    <w:lvl w:ilvl="1" w:tplc="E596691E">
      <w:numFmt w:val="bullet"/>
      <w:lvlText w:val=""/>
      <w:lvlJc w:val="left"/>
      <w:pPr>
        <w:ind w:left="900" w:hanging="360"/>
      </w:pPr>
      <w:rPr>
        <w:rFonts w:ascii="Symbol" w:eastAsia="Symbol" w:hAnsi="Symbol" w:cs="Symbol" w:hint="default"/>
        <w:w w:val="100"/>
        <w:sz w:val="24"/>
        <w:szCs w:val="24"/>
      </w:rPr>
    </w:lvl>
    <w:lvl w:ilvl="2" w:tplc="17848078">
      <w:numFmt w:val="bullet"/>
      <w:lvlText w:val="•"/>
      <w:lvlJc w:val="left"/>
      <w:pPr>
        <w:ind w:left="1997" w:hanging="360"/>
      </w:pPr>
      <w:rPr>
        <w:rFonts w:hint="default"/>
      </w:rPr>
    </w:lvl>
    <w:lvl w:ilvl="3" w:tplc="10C0EE9C">
      <w:numFmt w:val="bullet"/>
      <w:lvlText w:val="•"/>
      <w:lvlJc w:val="left"/>
      <w:pPr>
        <w:ind w:left="3095" w:hanging="360"/>
      </w:pPr>
      <w:rPr>
        <w:rFonts w:hint="default"/>
      </w:rPr>
    </w:lvl>
    <w:lvl w:ilvl="4" w:tplc="77DC9906">
      <w:numFmt w:val="bullet"/>
      <w:lvlText w:val="•"/>
      <w:lvlJc w:val="left"/>
      <w:pPr>
        <w:ind w:left="4193" w:hanging="360"/>
      </w:pPr>
      <w:rPr>
        <w:rFonts w:hint="default"/>
      </w:rPr>
    </w:lvl>
    <w:lvl w:ilvl="5" w:tplc="EFD69C84">
      <w:numFmt w:val="bullet"/>
      <w:lvlText w:val="•"/>
      <w:lvlJc w:val="left"/>
      <w:pPr>
        <w:ind w:left="5291" w:hanging="360"/>
      </w:pPr>
      <w:rPr>
        <w:rFonts w:hint="default"/>
      </w:rPr>
    </w:lvl>
    <w:lvl w:ilvl="6" w:tplc="0BF8661E">
      <w:numFmt w:val="bullet"/>
      <w:lvlText w:val="•"/>
      <w:lvlJc w:val="left"/>
      <w:pPr>
        <w:ind w:left="6388" w:hanging="360"/>
      </w:pPr>
      <w:rPr>
        <w:rFonts w:hint="default"/>
      </w:rPr>
    </w:lvl>
    <w:lvl w:ilvl="7" w:tplc="00F8A250">
      <w:numFmt w:val="bullet"/>
      <w:lvlText w:val="•"/>
      <w:lvlJc w:val="left"/>
      <w:pPr>
        <w:ind w:left="7486" w:hanging="360"/>
      </w:pPr>
      <w:rPr>
        <w:rFonts w:hint="default"/>
      </w:rPr>
    </w:lvl>
    <w:lvl w:ilvl="8" w:tplc="829410CC">
      <w:numFmt w:val="bullet"/>
      <w:lvlText w:val="•"/>
      <w:lvlJc w:val="left"/>
      <w:pPr>
        <w:ind w:left="8584" w:hanging="360"/>
      </w:pPr>
      <w:rPr>
        <w:rFonts w:hint="default"/>
      </w:rPr>
    </w:lvl>
  </w:abstractNum>
  <w:abstractNum w:abstractNumId="1" w15:restartNumberingAfterBreak="0">
    <w:nsid w:val="4C842382"/>
    <w:multiLevelType w:val="hybridMultilevel"/>
    <w:tmpl w:val="903AA182"/>
    <w:lvl w:ilvl="0" w:tplc="1009000B">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5D2179CB"/>
    <w:multiLevelType w:val="hybridMultilevel"/>
    <w:tmpl w:val="5A48D748"/>
    <w:lvl w:ilvl="0" w:tplc="7BB8ADBA">
      <w:start w:val="1"/>
      <w:numFmt w:val="decimal"/>
      <w:lvlText w:val="%1."/>
      <w:lvlJc w:val="left"/>
      <w:pPr>
        <w:ind w:left="540" w:hanging="361"/>
      </w:pPr>
      <w:rPr>
        <w:rFonts w:ascii="Calibri" w:eastAsia="Calibri" w:hAnsi="Calibri" w:cs="Calibri" w:hint="default"/>
        <w:spacing w:val="-4"/>
        <w:w w:val="100"/>
        <w:sz w:val="24"/>
        <w:szCs w:val="24"/>
      </w:rPr>
    </w:lvl>
    <w:lvl w:ilvl="1" w:tplc="34C60230">
      <w:numFmt w:val="bullet"/>
      <w:lvlText w:val=""/>
      <w:lvlJc w:val="left"/>
      <w:pPr>
        <w:ind w:left="900" w:hanging="360"/>
      </w:pPr>
      <w:rPr>
        <w:rFonts w:ascii="Symbol" w:eastAsia="Symbol" w:hAnsi="Symbol" w:cs="Symbol" w:hint="default"/>
        <w:w w:val="100"/>
        <w:sz w:val="24"/>
        <w:szCs w:val="24"/>
      </w:rPr>
    </w:lvl>
    <w:lvl w:ilvl="2" w:tplc="23BC4B3A">
      <w:numFmt w:val="bullet"/>
      <w:lvlText w:val="•"/>
      <w:lvlJc w:val="left"/>
      <w:pPr>
        <w:ind w:left="1997" w:hanging="360"/>
      </w:pPr>
    </w:lvl>
    <w:lvl w:ilvl="3" w:tplc="41F6E124">
      <w:numFmt w:val="bullet"/>
      <w:lvlText w:val="•"/>
      <w:lvlJc w:val="left"/>
      <w:pPr>
        <w:ind w:left="3095" w:hanging="360"/>
      </w:pPr>
    </w:lvl>
    <w:lvl w:ilvl="4" w:tplc="ABCC6174">
      <w:numFmt w:val="bullet"/>
      <w:lvlText w:val="•"/>
      <w:lvlJc w:val="left"/>
      <w:pPr>
        <w:ind w:left="4193" w:hanging="360"/>
      </w:pPr>
    </w:lvl>
    <w:lvl w:ilvl="5" w:tplc="0CB002AC">
      <w:numFmt w:val="bullet"/>
      <w:lvlText w:val="•"/>
      <w:lvlJc w:val="left"/>
      <w:pPr>
        <w:ind w:left="5291" w:hanging="360"/>
      </w:pPr>
    </w:lvl>
    <w:lvl w:ilvl="6" w:tplc="01601F20">
      <w:numFmt w:val="bullet"/>
      <w:lvlText w:val="•"/>
      <w:lvlJc w:val="left"/>
      <w:pPr>
        <w:ind w:left="6388" w:hanging="360"/>
      </w:pPr>
    </w:lvl>
    <w:lvl w:ilvl="7" w:tplc="73724F14">
      <w:numFmt w:val="bullet"/>
      <w:lvlText w:val="•"/>
      <w:lvlJc w:val="left"/>
      <w:pPr>
        <w:ind w:left="7486" w:hanging="360"/>
      </w:pPr>
    </w:lvl>
    <w:lvl w:ilvl="8" w:tplc="19EE309A">
      <w:numFmt w:val="bullet"/>
      <w:lvlText w:val="•"/>
      <w:lvlJc w:val="left"/>
      <w:pPr>
        <w:ind w:left="8584" w:hanging="36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ED"/>
    <w:rsid w:val="00010BD2"/>
    <w:rsid w:val="00076B87"/>
    <w:rsid w:val="000F1AEF"/>
    <w:rsid w:val="00110437"/>
    <w:rsid w:val="00207C51"/>
    <w:rsid w:val="00212169"/>
    <w:rsid w:val="00233357"/>
    <w:rsid w:val="00280219"/>
    <w:rsid w:val="00285B76"/>
    <w:rsid w:val="002A1EE8"/>
    <w:rsid w:val="002B4AB0"/>
    <w:rsid w:val="002C5694"/>
    <w:rsid w:val="00301F4E"/>
    <w:rsid w:val="00320F0B"/>
    <w:rsid w:val="003703EB"/>
    <w:rsid w:val="003C5206"/>
    <w:rsid w:val="004417BC"/>
    <w:rsid w:val="00455FED"/>
    <w:rsid w:val="004F3C40"/>
    <w:rsid w:val="00503935"/>
    <w:rsid w:val="0052530A"/>
    <w:rsid w:val="00594BFF"/>
    <w:rsid w:val="005B08E5"/>
    <w:rsid w:val="00614A81"/>
    <w:rsid w:val="00643F03"/>
    <w:rsid w:val="00683321"/>
    <w:rsid w:val="006B57C6"/>
    <w:rsid w:val="006F02DC"/>
    <w:rsid w:val="007F4A20"/>
    <w:rsid w:val="007F697C"/>
    <w:rsid w:val="008C14C5"/>
    <w:rsid w:val="008C5990"/>
    <w:rsid w:val="008D585C"/>
    <w:rsid w:val="008F7850"/>
    <w:rsid w:val="0095077E"/>
    <w:rsid w:val="009A4C97"/>
    <w:rsid w:val="00A4599B"/>
    <w:rsid w:val="00A6122A"/>
    <w:rsid w:val="00A65077"/>
    <w:rsid w:val="00B255B1"/>
    <w:rsid w:val="00B54CF5"/>
    <w:rsid w:val="00B87CBD"/>
    <w:rsid w:val="00B922A8"/>
    <w:rsid w:val="00CA3C49"/>
    <w:rsid w:val="00CA3CD1"/>
    <w:rsid w:val="00CC4EB3"/>
    <w:rsid w:val="00CF2FCD"/>
    <w:rsid w:val="00D0740F"/>
    <w:rsid w:val="00D76A05"/>
    <w:rsid w:val="00D804B8"/>
    <w:rsid w:val="00DA43A0"/>
    <w:rsid w:val="00DC3715"/>
    <w:rsid w:val="00E73246"/>
    <w:rsid w:val="00EB220E"/>
    <w:rsid w:val="00EF54D8"/>
    <w:rsid w:val="00F5221A"/>
    <w:rsid w:val="00F71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DE618"/>
  <w15:docId w15:val="{0D542811-3EC6-496B-85CF-22B1AB53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0"/>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540" w:hanging="360"/>
    </w:pPr>
  </w:style>
  <w:style w:type="paragraph" w:customStyle="1" w:styleId="TableParagraph">
    <w:name w:val="Table Paragraph"/>
    <w:basedOn w:val="Normal"/>
    <w:uiPriority w:val="1"/>
    <w:qFormat/>
    <w:pPr>
      <w:spacing w:before="18"/>
      <w:ind w:left="141"/>
    </w:pPr>
  </w:style>
  <w:style w:type="paragraph" w:styleId="Header">
    <w:name w:val="header"/>
    <w:basedOn w:val="Normal"/>
    <w:link w:val="HeaderChar"/>
    <w:uiPriority w:val="99"/>
    <w:unhideWhenUsed/>
    <w:rsid w:val="00DC3715"/>
    <w:pPr>
      <w:tabs>
        <w:tab w:val="center" w:pos="4680"/>
        <w:tab w:val="right" w:pos="9360"/>
      </w:tabs>
    </w:pPr>
  </w:style>
  <w:style w:type="character" w:customStyle="1" w:styleId="HeaderChar">
    <w:name w:val="Header Char"/>
    <w:basedOn w:val="DefaultParagraphFont"/>
    <w:link w:val="Header"/>
    <w:uiPriority w:val="99"/>
    <w:rsid w:val="00DC3715"/>
    <w:rPr>
      <w:rFonts w:ascii="Calibri" w:eastAsia="Calibri" w:hAnsi="Calibri" w:cs="Calibri"/>
    </w:rPr>
  </w:style>
  <w:style w:type="paragraph" w:styleId="Footer">
    <w:name w:val="footer"/>
    <w:basedOn w:val="Normal"/>
    <w:link w:val="FooterChar"/>
    <w:uiPriority w:val="99"/>
    <w:unhideWhenUsed/>
    <w:rsid w:val="00DC3715"/>
    <w:pPr>
      <w:tabs>
        <w:tab w:val="center" w:pos="4680"/>
        <w:tab w:val="right" w:pos="9360"/>
      </w:tabs>
    </w:pPr>
  </w:style>
  <w:style w:type="character" w:customStyle="1" w:styleId="FooterChar">
    <w:name w:val="Footer Char"/>
    <w:basedOn w:val="DefaultParagraphFont"/>
    <w:link w:val="Footer"/>
    <w:uiPriority w:val="99"/>
    <w:rsid w:val="00DC3715"/>
    <w:rPr>
      <w:rFonts w:ascii="Calibri" w:eastAsia="Calibri" w:hAnsi="Calibri" w:cs="Calibri"/>
    </w:rPr>
  </w:style>
  <w:style w:type="table" w:styleId="TableGrid">
    <w:name w:val="Table Grid"/>
    <w:basedOn w:val="TableNormal"/>
    <w:uiPriority w:val="39"/>
    <w:rsid w:val="00D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206"/>
    <w:rPr>
      <w:color w:val="0000FF" w:themeColor="hyperlink"/>
      <w:u w:val="single"/>
    </w:rPr>
  </w:style>
  <w:style w:type="character" w:customStyle="1" w:styleId="UnresolvedMention1">
    <w:name w:val="Unresolved Mention1"/>
    <w:basedOn w:val="DefaultParagraphFont"/>
    <w:uiPriority w:val="99"/>
    <w:semiHidden/>
    <w:unhideWhenUsed/>
    <w:rsid w:val="003C5206"/>
    <w:rPr>
      <w:color w:val="808080"/>
      <w:shd w:val="clear" w:color="auto" w:fill="E6E6E6"/>
    </w:rPr>
  </w:style>
  <w:style w:type="character" w:customStyle="1" w:styleId="UnresolvedMention">
    <w:name w:val="Unresolved Mention"/>
    <w:basedOn w:val="DefaultParagraphFont"/>
    <w:uiPriority w:val="99"/>
    <w:semiHidden/>
    <w:unhideWhenUsed/>
    <w:rsid w:val="00F710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6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concordia.ab.ca" TargetMode="External"/><Relationship Id="rId3" Type="http://schemas.openxmlformats.org/officeDocument/2006/relationships/settings" Target="settings.xml"/><Relationship Id="rId7" Type="http://schemas.openxmlformats.org/officeDocument/2006/relationships/hyperlink" Target="mailto:research@concordia.ab.ca" TargetMode="External"/><Relationship Id="rId12" Type="http://schemas.openxmlformats.org/officeDocument/2006/relationships/hyperlink" Target="mailto:research@concordia.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erc-crsng.gc.ca/Professors-Professeurs/FinancialAdminGuide-GuideAdminFinancier/FundsUse-UtilisationSubventions_eng.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nce.gc.ca/eic/site/063.nsf/eng/h_56B87BE5.html?OpenDocu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Hernandez Correa</dc:creator>
  <cp:lastModifiedBy>RAMSES ILARRAZA</cp:lastModifiedBy>
  <cp:revision>4</cp:revision>
  <dcterms:created xsi:type="dcterms:W3CDTF">2019-05-03T16:24:00Z</dcterms:created>
  <dcterms:modified xsi:type="dcterms:W3CDTF">2019-05-03T16:32:00Z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